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57F15" w:rsidRDefault="00B57F15" w:rsidP="00B57F15">
      <w:pPr>
        <w:rPr>
          <w:rFonts w:ascii="Times New Roman" w:hAnsi="Times New Roman" w:cs="Times New Roman"/>
          <w:sz w:val="24"/>
          <w:szCs w:val="24"/>
        </w:rPr>
      </w:pPr>
    </w:p>
    <w:p w:rsidR="00B57F15" w:rsidRPr="000C01DD" w:rsidRDefault="00B57F15" w:rsidP="00B57F15">
      <w:pPr>
        <w:jc w:val="center"/>
        <w:rPr>
          <w:rFonts w:ascii="Times New Roman" w:hAnsi="Times New Roman" w:cs="Times New Roman"/>
          <w:sz w:val="28"/>
          <w:szCs w:val="28"/>
        </w:rPr>
      </w:pPr>
      <w:r w:rsidRPr="000C01DD">
        <w:rPr>
          <w:rFonts w:ascii="Times New Roman" w:hAnsi="Times New Roman" w:cs="Times New Roman"/>
          <w:sz w:val="28"/>
          <w:szCs w:val="28"/>
          <w:u w:val="single"/>
        </w:rPr>
        <w:t>PASTORAAL LITURGISCHE HANDREIKINGEN</w:t>
      </w:r>
    </w:p>
    <w:p w:rsidR="00B57F15" w:rsidRDefault="00B57F15" w:rsidP="00B57F15">
      <w:pPr>
        <w:jc w:val="center"/>
        <w:rPr>
          <w:rFonts w:ascii="Times New Roman" w:hAnsi="Times New Roman" w:cs="Times New Roman"/>
          <w:sz w:val="24"/>
          <w:szCs w:val="24"/>
        </w:rPr>
      </w:pPr>
    </w:p>
    <w:p w:rsidR="00B57F15" w:rsidRDefault="00B57F15" w:rsidP="00B57F15">
      <w:pPr>
        <w:jc w:val="center"/>
        <w:rPr>
          <w:rFonts w:ascii="Times New Roman" w:hAnsi="Times New Roman" w:cs="Times New Roman"/>
          <w:sz w:val="24"/>
          <w:szCs w:val="24"/>
        </w:rPr>
      </w:pPr>
    </w:p>
    <w:p w:rsidR="00B57F15" w:rsidRDefault="00B57F15" w:rsidP="00B57F15">
      <w:pPr>
        <w:jc w:val="center"/>
        <w:rPr>
          <w:rFonts w:ascii="Times New Roman" w:hAnsi="Times New Roman" w:cs="Times New Roman"/>
          <w:sz w:val="24"/>
          <w:szCs w:val="24"/>
        </w:rPr>
      </w:pPr>
    </w:p>
    <w:p w:rsidR="00B57F15" w:rsidRDefault="00B57F15" w:rsidP="00B57F15">
      <w:pPr>
        <w:jc w:val="center"/>
        <w:rPr>
          <w:rFonts w:ascii="Times New Roman" w:hAnsi="Times New Roman" w:cs="Times New Roman"/>
          <w:sz w:val="24"/>
          <w:szCs w:val="24"/>
        </w:rPr>
      </w:pPr>
      <w:r>
        <w:rPr>
          <w:rFonts w:ascii="Times New Roman" w:hAnsi="Times New Roman" w:cs="Times New Roman"/>
          <w:sz w:val="24"/>
          <w:szCs w:val="24"/>
        </w:rPr>
        <w:t>Modellen</w:t>
      </w:r>
    </w:p>
    <w:p w:rsidR="00B57F15" w:rsidRDefault="00B57F15" w:rsidP="00B57F15">
      <w:pPr>
        <w:jc w:val="center"/>
        <w:rPr>
          <w:rFonts w:ascii="Times New Roman" w:hAnsi="Times New Roman" w:cs="Times New Roman"/>
          <w:sz w:val="24"/>
          <w:szCs w:val="24"/>
        </w:rPr>
      </w:pPr>
      <w:r>
        <w:rPr>
          <w:rFonts w:ascii="Times New Roman" w:hAnsi="Times New Roman" w:cs="Times New Roman"/>
          <w:sz w:val="24"/>
          <w:szCs w:val="24"/>
        </w:rPr>
        <w:t>voor</w:t>
      </w:r>
    </w:p>
    <w:p w:rsidR="00B57F15" w:rsidRDefault="00B57F15" w:rsidP="00B57F15">
      <w:pPr>
        <w:jc w:val="center"/>
        <w:rPr>
          <w:rFonts w:ascii="Times New Roman" w:hAnsi="Times New Roman" w:cs="Times New Roman"/>
          <w:sz w:val="24"/>
          <w:szCs w:val="24"/>
        </w:rPr>
      </w:pPr>
      <w:r>
        <w:rPr>
          <w:rFonts w:ascii="Times New Roman" w:hAnsi="Times New Roman" w:cs="Times New Roman"/>
          <w:sz w:val="24"/>
          <w:szCs w:val="24"/>
        </w:rPr>
        <w:t>communievieringen</w:t>
      </w:r>
    </w:p>
    <w:p w:rsidR="00B57F15" w:rsidRDefault="00B57F15" w:rsidP="00B57F15">
      <w:pPr>
        <w:jc w:val="center"/>
        <w:rPr>
          <w:rFonts w:ascii="Times New Roman" w:hAnsi="Times New Roman" w:cs="Times New Roman"/>
          <w:sz w:val="24"/>
          <w:szCs w:val="24"/>
        </w:rPr>
      </w:pPr>
    </w:p>
    <w:p w:rsidR="00B57F15" w:rsidRDefault="00B57F15" w:rsidP="00B57F15">
      <w:pPr>
        <w:jc w:val="center"/>
        <w:rPr>
          <w:rFonts w:ascii="Times New Roman" w:hAnsi="Times New Roman" w:cs="Times New Roman"/>
          <w:sz w:val="24"/>
          <w:szCs w:val="24"/>
        </w:rPr>
      </w:pPr>
    </w:p>
    <w:p w:rsidR="00B57F15" w:rsidRDefault="00B57F15" w:rsidP="00B57F15">
      <w:pPr>
        <w:jc w:val="center"/>
        <w:rPr>
          <w:rFonts w:ascii="Times New Roman" w:hAnsi="Times New Roman" w:cs="Times New Roman"/>
          <w:sz w:val="24"/>
          <w:szCs w:val="24"/>
        </w:rPr>
      </w:pPr>
    </w:p>
    <w:p w:rsidR="00B57F15" w:rsidRDefault="00B57F15" w:rsidP="00B57F15">
      <w:pPr>
        <w:jc w:val="center"/>
        <w:rPr>
          <w:rFonts w:ascii="Times New Roman" w:hAnsi="Times New Roman" w:cs="Times New Roman"/>
          <w:sz w:val="24"/>
          <w:szCs w:val="24"/>
        </w:rPr>
      </w:pPr>
    </w:p>
    <w:p w:rsidR="00B57F15" w:rsidRDefault="00B57F15" w:rsidP="00B57F15">
      <w:pPr>
        <w:jc w:val="center"/>
        <w:rPr>
          <w:rFonts w:ascii="Times New Roman" w:hAnsi="Times New Roman" w:cs="Times New Roman"/>
          <w:sz w:val="24"/>
          <w:szCs w:val="24"/>
        </w:rPr>
      </w:pPr>
    </w:p>
    <w:p w:rsidR="00B57F15" w:rsidRDefault="00B57F15" w:rsidP="00B57F15">
      <w:pPr>
        <w:jc w:val="center"/>
        <w:rPr>
          <w:rFonts w:ascii="Times New Roman" w:hAnsi="Times New Roman" w:cs="Times New Roman"/>
          <w:sz w:val="24"/>
          <w:szCs w:val="24"/>
        </w:rPr>
      </w:pPr>
      <w:bookmarkStart w:id="0" w:name="_GoBack"/>
      <w:r>
        <w:rPr>
          <w:rFonts w:ascii="Arial" w:hAnsi="Arial" w:cs="Arial"/>
          <w:noProof/>
          <w:sz w:val="20"/>
          <w:szCs w:val="20"/>
          <w:lang w:eastAsia="nl-NL"/>
        </w:rPr>
        <w:drawing>
          <wp:inline distT="0" distB="0" distL="0" distR="0" wp14:anchorId="343DFFEF" wp14:editId="49903071">
            <wp:extent cx="1323975" cy="1304925"/>
            <wp:effectExtent l="0" t="0" r="9525" b="9525"/>
            <wp:docPr id="1" name="Afbeelding 1" descr="http://les.canisius.nl/web/Grassroots_Canisius/levensbeschouwing_4h/Christ/Dood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les.canisius.nl/web/Grassroots_Canisius/levensbeschouwing_4h/Christ/Dood4.gif"/>
                    <pic:cNvPicPr>
                      <a:picLocks noChangeAspect="1" noChangeArrowheads="1"/>
                    </pic:cNvPicPr>
                  </pic:nvPicPr>
                  <pic:blipFill>
                    <a:blip r:embed="rId6">
                      <a:extLst>
                        <a:ext uri="{BEBA8EAE-BF5A-486C-A8C5-ECC9F3942E4B}">
                          <a14:imgProps xmlns:a14="http://schemas.microsoft.com/office/drawing/2010/main">
                            <a14:imgLayer r:embed="rId7">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1323975" cy="1304925"/>
                    </a:xfrm>
                    <a:prstGeom prst="rect">
                      <a:avLst/>
                    </a:prstGeom>
                    <a:noFill/>
                    <a:ln>
                      <a:noFill/>
                    </a:ln>
                  </pic:spPr>
                </pic:pic>
              </a:graphicData>
            </a:graphic>
          </wp:inline>
        </w:drawing>
      </w:r>
      <w:bookmarkEnd w:id="0"/>
    </w:p>
    <w:p w:rsidR="00B57F15" w:rsidRDefault="00B57F15" w:rsidP="00B57F15">
      <w:pPr>
        <w:jc w:val="center"/>
        <w:rPr>
          <w:rFonts w:ascii="Times New Roman" w:hAnsi="Times New Roman" w:cs="Times New Roman"/>
          <w:sz w:val="24"/>
          <w:szCs w:val="24"/>
        </w:rPr>
      </w:pPr>
    </w:p>
    <w:p w:rsidR="00B57F15" w:rsidRPr="000C01DD" w:rsidRDefault="00B57F15" w:rsidP="00B57F15">
      <w:pPr>
        <w:rPr>
          <w:rFonts w:ascii="Times New Roman" w:hAnsi="Times New Roman" w:cs="Times New Roman"/>
          <w:sz w:val="24"/>
          <w:szCs w:val="24"/>
        </w:rPr>
      </w:pPr>
    </w:p>
    <w:p w:rsidR="00B57F15" w:rsidRPr="000C01DD" w:rsidRDefault="00B57F15" w:rsidP="00B57F15">
      <w:pPr>
        <w:rPr>
          <w:rFonts w:ascii="Times New Roman" w:hAnsi="Times New Roman" w:cs="Times New Roman"/>
          <w:sz w:val="24"/>
          <w:szCs w:val="24"/>
        </w:rPr>
      </w:pPr>
    </w:p>
    <w:p w:rsidR="00B57F15" w:rsidRDefault="00B57F15" w:rsidP="00B57F15">
      <w:pPr>
        <w:tabs>
          <w:tab w:val="left" w:pos="5190"/>
        </w:tabs>
        <w:rPr>
          <w:rFonts w:ascii="Times New Roman" w:hAnsi="Times New Roman" w:cs="Times New Roman"/>
          <w:sz w:val="24"/>
          <w:szCs w:val="24"/>
        </w:rPr>
      </w:pPr>
    </w:p>
    <w:p w:rsidR="00B57F15" w:rsidRDefault="00B57F15" w:rsidP="00B57F15">
      <w:pPr>
        <w:jc w:val="center"/>
        <w:rPr>
          <w:rFonts w:ascii="Times New Roman" w:hAnsi="Times New Roman" w:cs="Times New Roman"/>
          <w:sz w:val="24"/>
          <w:szCs w:val="24"/>
        </w:rPr>
      </w:pPr>
      <w:r>
        <w:rPr>
          <w:rFonts w:ascii="Times New Roman" w:hAnsi="Times New Roman" w:cs="Times New Roman"/>
          <w:sz w:val="28"/>
          <w:szCs w:val="28"/>
        </w:rPr>
        <w:t>NATIONALE RAAD VOOR LITURGIE</w:t>
      </w:r>
      <w:r>
        <w:rPr>
          <w:rFonts w:ascii="Times New Roman" w:hAnsi="Times New Roman" w:cs="Times New Roman"/>
          <w:sz w:val="24"/>
          <w:szCs w:val="24"/>
        </w:rPr>
        <w:br w:type="page"/>
      </w:r>
    </w:p>
    <w:p w:rsidR="00B57F15" w:rsidRDefault="00B57F15" w:rsidP="00B57F15">
      <w:pPr>
        <w:tabs>
          <w:tab w:val="left" w:pos="5190"/>
        </w:tabs>
        <w:rPr>
          <w:rFonts w:ascii="Times New Roman" w:hAnsi="Times New Roman" w:cs="Times New Roman"/>
          <w:sz w:val="28"/>
          <w:szCs w:val="28"/>
        </w:rPr>
      </w:pPr>
      <w:r>
        <w:rPr>
          <w:rFonts w:ascii="Times New Roman" w:hAnsi="Times New Roman" w:cs="Times New Roman"/>
          <w:b/>
          <w:sz w:val="28"/>
          <w:szCs w:val="28"/>
        </w:rPr>
        <w:lastRenderedPageBreak/>
        <w:t>Orde van dienst voor een communieviering</w:t>
      </w:r>
    </w:p>
    <w:p w:rsidR="00B57F15" w:rsidRDefault="00B57F15" w:rsidP="00B57F15">
      <w:pPr>
        <w:tabs>
          <w:tab w:val="left" w:pos="5190"/>
        </w:tabs>
        <w:rPr>
          <w:rFonts w:ascii="Times New Roman" w:hAnsi="Times New Roman" w:cs="Times New Roman"/>
          <w:sz w:val="28"/>
          <w:szCs w:val="28"/>
        </w:rPr>
      </w:pPr>
    </w:p>
    <w:p w:rsidR="00B57F15" w:rsidRPr="006A5569" w:rsidRDefault="00B57F15" w:rsidP="00B57F15">
      <w:pPr>
        <w:pStyle w:val="Lijstalinea"/>
        <w:numPr>
          <w:ilvl w:val="0"/>
          <w:numId w:val="1"/>
        </w:numPr>
        <w:tabs>
          <w:tab w:val="left" w:pos="5190"/>
        </w:tabs>
        <w:rPr>
          <w:rFonts w:ascii="Times New Roman" w:hAnsi="Times New Roman" w:cs="Times New Roman"/>
          <w:b/>
          <w:i/>
          <w:sz w:val="28"/>
          <w:szCs w:val="28"/>
        </w:rPr>
      </w:pPr>
      <w:r w:rsidRPr="006A5569">
        <w:rPr>
          <w:rFonts w:ascii="Times New Roman" w:hAnsi="Times New Roman" w:cs="Times New Roman"/>
          <w:b/>
          <w:i/>
          <w:sz w:val="28"/>
          <w:szCs w:val="28"/>
        </w:rPr>
        <w:t>Toelichting bij de verschillende onderdelen</w:t>
      </w:r>
    </w:p>
    <w:p w:rsidR="00B57F15" w:rsidRDefault="00B57F15" w:rsidP="00B57F15">
      <w:pPr>
        <w:tabs>
          <w:tab w:val="left" w:pos="5190"/>
        </w:tabs>
        <w:rPr>
          <w:rFonts w:ascii="Times New Roman" w:hAnsi="Times New Roman" w:cs="Times New Roman"/>
          <w:i/>
          <w:sz w:val="28"/>
          <w:szCs w:val="28"/>
        </w:rPr>
      </w:pPr>
    </w:p>
    <w:p w:rsidR="00B57F15" w:rsidRDefault="00B57F15" w:rsidP="00B57F15">
      <w:pPr>
        <w:tabs>
          <w:tab w:val="left" w:pos="5190"/>
        </w:tabs>
        <w:rPr>
          <w:rFonts w:ascii="Times New Roman" w:hAnsi="Times New Roman" w:cs="Times New Roman"/>
          <w:sz w:val="24"/>
          <w:szCs w:val="24"/>
        </w:rPr>
      </w:pPr>
      <w:r>
        <w:rPr>
          <w:rFonts w:ascii="Times New Roman" w:hAnsi="Times New Roman" w:cs="Times New Roman"/>
          <w:sz w:val="24"/>
          <w:szCs w:val="24"/>
        </w:rPr>
        <w:t xml:space="preserve">Het uitgangspunt voor de orde van dienst voor een communieviering op zondag, wanneer er geen priester beschikbaar is, is het Romeins rituaal </w:t>
      </w:r>
      <w:r>
        <w:rPr>
          <w:rFonts w:ascii="Times New Roman" w:hAnsi="Times New Roman" w:cs="Times New Roman"/>
          <w:b/>
          <w:sz w:val="24"/>
          <w:szCs w:val="24"/>
        </w:rPr>
        <w:t>De orde van dienst bij het uitreiken van de communie buiten de eucharistieviering</w:t>
      </w:r>
      <w:r>
        <w:rPr>
          <w:rFonts w:ascii="Times New Roman" w:hAnsi="Times New Roman" w:cs="Times New Roman"/>
          <w:sz w:val="24"/>
          <w:szCs w:val="24"/>
        </w:rPr>
        <w:t xml:space="preserve"> (in: </w:t>
      </w:r>
      <w:r>
        <w:rPr>
          <w:rFonts w:ascii="Times New Roman" w:hAnsi="Times New Roman" w:cs="Times New Roman"/>
          <w:i/>
          <w:sz w:val="24"/>
          <w:szCs w:val="24"/>
        </w:rPr>
        <w:t xml:space="preserve">De heilige communie en de verering van de eucharistie buiten de mis, nr. 4). </w:t>
      </w:r>
    </w:p>
    <w:p w:rsidR="00B57F15" w:rsidRDefault="00B57F15" w:rsidP="00B57F15">
      <w:pPr>
        <w:tabs>
          <w:tab w:val="left" w:pos="567"/>
        </w:tabs>
        <w:rPr>
          <w:rFonts w:ascii="Times New Roman" w:hAnsi="Times New Roman" w:cs="Times New Roman"/>
          <w:sz w:val="24"/>
          <w:szCs w:val="24"/>
        </w:rPr>
      </w:pPr>
      <w:r>
        <w:rPr>
          <w:rFonts w:ascii="Times New Roman" w:hAnsi="Times New Roman" w:cs="Times New Roman"/>
          <w:sz w:val="24"/>
          <w:szCs w:val="24"/>
        </w:rPr>
        <w:tab/>
        <w:t xml:space="preserve">Enerzijds is de communieviering buiten de eucharistische viering een zelfstandige, afgeronde viering, anderzijds is het een viering die een duidelijke band heeft met de eucharistieviering. De communieviering is immers de laatste van de vier kernhandelingen van de eucharistieviering. Als vanzelfsprekend zal dan ook naar de voorafgaande eucharistieviering verwezen worden. </w:t>
      </w:r>
    </w:p>
    <w:p w:rsidR="00B57F15" w:rsidRDefault="00B57F15" w:rsidP="00B57F15">
      <w:pPr>
        <w:tabs>
          <w:tab w:val="left" w:pos="993"/>
        </w:tabs>
        <w:rPr>
          <w:rFonts w:ascii="Times New Roman" w:hAnsi="Times New Roman" w:cs="Times New Roman"/>
          <w:sz w:val="24"/>
          <w:szCs w:val="24"/>
        </w:rPr>
      </w:pPr>
    </w:p>
    <w:p w:rsidR="00B57F15" w:rsidRDefault="00B57F15" w:rsidP="00B57F15">
      <w:pPr>
        <w:tabs>
          <w:tab w:val="left" w:pos="993"/>
        </w:tabs>
        <w:rPr>
          <w:rFonts w:ascii="Times New Roman" w:hAnsi="Times New Roman" w:cs="Times New Roman"/>
          <w:sz w:val="24"/>
          <w:szCs w:val="24"/>
        </w:rPr>
      </w:pPr>
      <w:r>
        <w:rPr>
          <w:rFonts w:ascii="Times New Roman" w:hAnsi="Times New Roman" w:cs="Times New Roman"/>
          <w:sz w:val="24"/>
          <w:szCs w:val="24"/>
        </w:rPr>
        <w:t xml:space="preserve">De communieviering is opgebouwd uit twee delen: </w:t>
      </w:r>
    </w:p>
    <w:p w:rsidR="00B57F15" w:rsidRDefault="00B57F15" w:rsidP="00B57F15">
      <w:pPr>
        <w:pStyle w:val="Lijstalinea"/>
        <w:numPr>
          <w:ilvl w:val="0"/>
          <w:numId w:val="2"/>
        </w:numPr>
        <w:tabs>
          <w:tab w:val="left" w:pos="993"/>
        </w:tabs>
        <w:rPr>
          <w:rFonts w:ascii="Times New Roman" w:hAnsi="Times New Roman" w:cs="Times New Roman"/>
          <w:sz w:val="24"/>
          <w:szCs w:val="24"/>
        </w:rPr>
      </w:pPr>
      <w:r>
        <w:rPr>
          <w:rFonts w:ascii="Times New Roman" w:hAnsi="Times New Roman" w:cs="Times New Roman"/>
          <w:sz w:val="24"/>
          <w:szCs w:val="24"/>
        </w:rPr>
        <w:t>de viering van het woord</w:t>
      </w:r>
    </w:p>
    <w:p w:rsidR="00B57F15" w:rsidRDefault="00B57F15" w:rsidP="00B57F15">
      <w:pPr>
        <w:pStyle w:val="Lijstalinea"/>
        <w:numPr>
          <w:ilvl w:val="0"/>
          <w:numId w:val="2"/>
        </w:numPr>
        <w:tabs>
          <w:tab w:val="left" w:pos="993"/>
        </w:tabs>
        <w:rPr>
          <w:rFonts w:ascii="Times New Roman" w:hAnsi="Times New Roman" w:cs="Times New Roman"/>
          <w:sz w:val="24"/>
          <w:szCs w:val="24"/>
        </w:rPr>
      </w:pPr>
      <w:r>
        <w:rPr>
          <w:rFonts w:ascii="Times New Roman" w:hAnsi="Times New Roman" w:cs="Times New Roman"/>
          <w:sz w:val="24"/>
          <w:szCs w:val="24"/>
        </w:rPr>
        <w:t>de viering van de communie</w:t>
      </w:r>
    </w:p>
    <w:p w:rsidR="00B57F15" w:rsidRDefault="00B57F15" w:rsidP="00B57F15">
      <w:pPr>
        <w:tabs>
          <w:tab w:val="left" w:pos="993"/>
        </w:tabs>
        <w:rPr>
          <w:rFonts w:ascii="Times New Roman" w:hAnsi="Times New Roman" w:cs="Times New Roman"/>
          <w:sz w:val="24"/>
          <w:szCs w:val="24"/>
        </w:rPr>
      </w:pPr>
      <w:r>
        <w:rPr>
          <w:rFonts w:ascii="Times New Roman" w:hAnsi="Times New Roman" w:cs="Times New Roman"/>
          <w:sz w:val="24"/>
          <w:szCs w:val="24"/>
        </w:rPr>
        <w:t xml:space="preserve">daaraan gaat een openingsritus vooraf en een slotritus besluit de viering. </w:t>
      </w:r>
    </w:p>
    <w:p w:rsidR="00B57F15" w:rsidRDefault="00B57F15" w:rsidP="00B57F15">
      <w:pPr>
        <w:tabs>
          <w:tab w:val="left" w:pos="993"/>
        </w:tabs>
        <w:rPr>
          <w:rFonts w:ascii="Times New Roman" w:hAnsi="Times New Roman" w:cs="Times New Roman"/>
          <w:sz w:val="24"/>
          <w:szCs w:val="24"/>
        </w:rPr>
      </w:pPr>
    </w:p>
    <w:p w:rsidR="00B57F15" w:rsidRDefault="00B57F15" w:rsidP="00B57F15">
      <w:pPr>
        <w:tabs>
          <w:tab w:val="left" w:pos="993"/>
        </w:tabs>
        <w:rPr>
          <w:rFonts w:ascii="Times New Roman" w:hAnsi="Times New Roman" w:cs="Times New Roman"/>
          <w:sz w:val="24"/>
          <w:szCs w:val="24"/>
        </w:rPr>
      </w:pPr>
      <w:r>
        <w:rPr>
          <w:rFonts w:ascii="Times New Roman" w:hAnsi="Times New Roman" w:cs="Times New Roman"/>
          <w:sz w:val="24"/>
          <w:szCs w:val="24"/>
        </w:rPr>
        <w:t xml:space="preserve">Na het Tweede Vaticaans Concilie is ook voor deze viering bepaald dat de viering van het woord niet achterwege kan blijven. Integendeel, aan de verkondiging van </w:t>
      </w:r>
      <w:r>
        <w:rPr>
          <w:rFonts w:ascii="Times New Roman" w:hAnsi="Times New Roman" w:cs="Times New Roman"/>
          <w:b/>
          <w:sz w:val="24"/>
          <w:szCs w:val="24"/>
        </w:rPr>
        <w:t>het woord van God</w:t>
      </w:r>
      <w:r>
        <w:rPr>
          <w:rFonts w:ascii="Times New Roman" w:hAnsi="Times New Roman" w:cs="Times New Roman"/>
          <w:sz w:val="24"/>
          <w:szCs w:val="24"/>
        </w:rPr>
        <w:t xml:space="preserve"> wordt in deze viering een groot belang gehecht. In de inleiding op genoemd rituaal wordt gezegd, dat de gelovigen op deze wijze ook gevoed worden door het woord van God, zodat zij met een grotere vruchtbaarheid deelnemen aan het mysterie van het heil. </w:t>
      </w:r>
    </w:p>
    <w:p w:rsidR="00B57F15" w:rsidRDefault="00B57F15" w:rsidP="00B57F15">
      <w:pPr>
        <w:tabs>
          <w:tab w:val="left" w:pos="567"/>
        </w:tabs>
        <w:rPr>
          <w:rFonts w:ascii="Times New Roman" w:hAnsi="Times New Roman" w:cs="Times New Roman"/>
          <w:sz w:val="24"/>
          <w:szCs w:val="24"/>
        </w:rPr>
      </w:pPr>
      <w:r>
        <w:rPr>
          <w:rFonts w:ascii="Times New Roman" w:hAnsi="Times New Roman" w:cs="Times New Roman"/>
          <w:sz w:val="24"/>
          <w:szCs w:val="24"/>
        </w:rPr>
        <w:tab/>
        <w:t xml:space="preserve">Voor deze viering van het woord kunnen de teksten ontleend worden aan de liturgie van de dag of aan de votiefmissen ter </w:t>
      </w:r>
      <w:proofErr w:type="spellStart"/>
      <w:r>
        <w:rPr>
          <w:rFonts w:ascii="Times New Roman" w:hAnsi="Times New Roman" w:cs="Times New Roman"/>
          <w:sz w:val="24"/>
          <w:szCs w:val="24"/>
        </w:rPr>
        <w:t>ere</w:t>
      </w:r>
      <w:proofErr w:type="spellEnd"/>
      <w:r>
        <w:rPr>
          <w:rFonts w:ascii="Times New Roman" w:hAnsi="Times New Roman" w:cs="Times New Roman"/>
          <w:sz w:val="24"/>
          <w:szCs w:val="24"/>
        </w:rPr>
        <w:t xml:space="preserve"> van het heilig Sacrament (</w:t>
      </w:r>
      <w:r>
        <w:rPr>
          <w:rFonts w:ascii="Times New Roman" w:hAnsi="Times New Roman" w:cs="Times New Roman"/>
          <w:i/>
          <w:sz w:val="24"/>
          <w:szCs w:val="24"/>
        </w:rPr>
        <w:t>vlg. nr. 29).</w:t>
      </w:r>
      <w:r>
        <w:rPr>
          <w:rFonts w:ascii="Times New Roman" w:hAnsi="Times New Roman" w:cs="Times New Roman"/>
          <w:sz w:val="24"/>
          <w:szCs w:val="24"/>
        </w:rPr>
        <w:t xml:space="preserve"> Vanwege de verbondenheid met de kerkgemeenschappen die elders samenkomen, wordt op zondag de </w:t>
      </w:r>
      <w:r>
        <w:rPr>
          <w:rFonts w:ascii="Times New Roman" w:hAnsi="Times New Roman" w:cs="Times New Roman"/>
          <w:sz w:val="24"/>
          <w:szCs w:val="24"/>
        </w:rPr>
        <w:lastRenderedPageBreak/>
        <w:t>voorkeur gegeven aan de schriftlezingen van de betreffende zondag (</w:t>
      </w:r>
      <w:r>
        <w:rPr>
          <w:rFonts w:ascii="Times New Roman" w:hAnsi="Times New Roman" w:cs="Times New Roman"/>
          <w:i/>
          <w:sz w:val="24"/>
          <w:szCs w:val="24"/>
        </w:rPr>
        <w:t xml:space="preserve">vgl. Directorium voor vieringen op zondag bij afwezigheid van een priester, nr. 36). </w:t>
      </w:r>
    </w:p>
    <w:p w:rsidR="00B57F15" w:rsidRDefault="00B57F15" w:rsidP="00B57F15">
      <w:pPr>
        <w:tabs>
          <w:tab w:val="left" w:pos="993"/>
        </w:tabs>
        <w:rPr>
          <w:rFonts w:ascii="Times New Roman" w:hAnsi="Times New Roman" w:cs="Times New Roman"/>
          <w:sz w:val="24"/>
          <w:szCs w:val="24"/>
        </w:rPr>
      </w:pPr>
    </w:p>
    <w:p w:rsidR="00B57F15" w:rsidRDefault="00B57F15" w:rsidP="00B57F15">
      <w:pPr>
        <w:tabs>
          <w:tab w:val="left" w:pos="993"/>
        </w:tabs>
        <w:rPr>
          <w:rFonts w:ascii="Times New Roman" w:hAnsi="Times New Roman" w:cs="Times New Roman"/>
          <w:sz w:val="24"/>
          <w:szCs w:val="24"/>
        </w:rPr>
      </w:pPr>
      <w:r>
        <w:rPr>
          <w:rFonts w:ascii="Times New Roman" w:hAnsi="Times New Roman" w:cs="Times New Roman"/>
          <w:sz w:val="24"/>
          <w:szCs w:val="24"/>
        </w:rPr>
        <w:t xml:space="preserve">De eucharistieviering en de communieviering zijn duidelijk </w:t>
      </w:r>
      <w:r>
        <w:rPr>
          <w:rFonts w:ascii="Times New Roman" w:hAnsi="Times New Roman" w:cs="Times New Roman"/>
          <w:b/>
          <w:sz w:val="24"/>
          <w:szCs w:val="24"/>
        </w:rPr>
        <w:t>van elkaar onderscheiden</w:t>
      </w:r>
      <w:r>
        <w:rPr>
          <w:rFonts w:ascii="Times New Roman" w:hAnsi="Times New Roman" w:cs="Times New Roman"/>
          <w:sz w:val="24"/>
          <w:szCs w:val="24"/>
        </w:rPr>
        <w:t xml:space="preserve"> en hebben ieder een eigen karakter. Dit komt des te beter tot zijn recht, wanneer dit tot uitdrukking wordt gebracht in de eigen opbouw van elk van  beide vieringen. Daarom worden kenmerkende elementen van de ene viering niet in de andere overgenomen. Zo wordt de opbouw van de communieviering gekenmerkt door een zekere soberheid in de vormgeving. De opbouw van de eucharistieviering is veel meer uitgewerkt. Elementen die eigen zijn aan de structuur van de eucharistieviering, betreffen enerzijds de zogenaamde ordinariumgezangen, t.w. het </w:t>
      </w:r>
      <w:r>
        <w:rPr>
          <w:rFonts w:ascii="Times New Roman" w:hAnsi="Times New Roman" w:cs="Times New Roman"/>
          <w:i/>
          <w:sz w:val="24"/>
          <w:szCs w:val="24"/>
        </w:rPr>
        <w:t>Heilig</w:t>
      </w:r>
      <w:r>
        <w:rPr>
          <w:rFonts w:ascii="Times New Roman" w:hAnsi="Times New Roman" w:cs="Times New Roman"/>
          <w:sz w:val="24"/>
          <w:szCs w:val="24"/>
        </w:rPr>
        <w:t xml:space="preserve"> – dat is immers een deel van het eucharistisch gebed – en het </w:t>
      </w:r>
      <w:r>
        <w:rPr>
          <w:rFonts w:ascii="Times New Roman" w:hAnsi="Times New Roman" w:cs="Times New Roman"/>
          <w:i/>
          <w:sz w:val="24"/>
          <w:szCs w:val="24"/>
        </w:rPr>
        <w:t>Lam Gods</w:t>
      </w:r>
      <w:r>
        <w:rPr>
          <w:rFonts w:ascii="Times New Roman" w:hAnsi="Times New Roman" w:cs="Times New Roman"/>
          <w:sz w:val="24"/>
          <w:szCs w:val="24"/>
        </w:rPr>
        <w:t xml:space="preserve"> – dat de begeleidingszang is bij een van de kernhandelingen van de eucharistieviering, de breking van het brood, die reeds plaatsgevonden heeft tijdens de eucharistieviering – en ook het </w:t>
      </w:r>
      <w:r>
        <w:rPr>
          <w:rFonts w:ascii="Times New Roman" w:hAnsi="Times New Roman" w:cs="Times New Roman"/>
          <w:i/>
          <w:sz w:val="24"/>
          <w:szCs w:val="24"/>
        </w:rPr>
        <w:t>Heer, ontferm U over ons</w:t>
      </w:r>
      <w:r>
        <w:rPr>
          <w:rFonts w:ascii="Times New Roman" w:hAnsi="Times New Roman" w:cs="Times New Roman"/>
          <w:sz w:val="24"/>
          <w:szCs w:val="24"/>
        </w:rPr>
        <w:t xml:space="preserve"> en het </w:t>
      </w:r>
      <w:r>
        <w:rPr>
          <w:rFonts w:ascii="Times New Roman" w:hAnsi="Times New Roman" w:cs="Times New Roman"/>
          <w:i/>
          <w:sz w:val="24"/>
          <w:szCs w:val="24"/>
        </w:rPr>
        <w:t>Eer aan God in den hoge</w:t>
      </w:r>
      <w:r>
        <w:rPr>
          <w:rFonts w:ascii="Times New Roman" w:hAnsi="Times New Roman" w:cs="Times New Roman"/>
          <w:sz w:val="24"/>
          <w:szCs w:val="24"/>
        </w:rPr>
        <w:t xml:space="preserve"> dat een feestelijk karakter geeft aan de eucharistieviering; dit betreft anderzijds de processie met de gaven (inclusief de collecte), het breken van het brood en de kelkcommunie, die verwijst naar het offer van het nieuwe en eeuwige verbond, dat bezegeld is met het bloed van Christus. </w:t>
      </w:r>
    </w:p>
    <w:p w:rsidR="00B57F15" w:rsidRDefault="00B57F15" w:rsidP="00B57F15">
      <w:pPr>
        <w:tabs>
          <w:tab w:val="left" w:pos="567"/>
        </w:tabs>
        <w:rPr>
          <w:rFonts w:ascii="Times New Roman" w:hAnsi="Times New Roman" w:cs="Times New Roman"/>
          <w:sz w:val="24"/>
          <w:szCs w:val="24"/>
        </w:rPr>
      </w:pPr>
      <w:r>
        <w:rPr>
          <w:rFonts w:ascii="Times New Roman" w:hAnsi="Times New Roman" w:cs="Times New Roman"/>
          <w:sz w:val="24"/>
          <w:szCs w:val="24"/>
        </w:rPr>
        <w:tab/>
        <w:t xml:space="preserve">Kenmerkend voor een eucharistieviering is ook de eigen functie van het altaar: het is de plaats voor het eucharistisch offer. In de communieviering heeft het altaar slechts een beperkte functie, namelijk om er tijdens de viering van de communie de eucharistische gaven op te plaatsen. Om die reden zullen hosties die uit een andere kerk afkomstig zijn ofwel binnengedragen worden aan het begin van de viering van de communie ofwel van te voren in het tabernakel geplaatst worden om bij het begin van de viering van de communie in processie naar het altaar gebracht te worden. </w:t>
      </w:r>
    </w:p>
    <w:p w:rsidR="00B57F15" w:rsidRDefault="00B57F15" w:rsidP="00B57F15">
      <w:pPr>
        <w:tabs>
          <w:tab w:val="left" w:pos="567"/>
        </w:tabs>
        <w:rPr>
          <w:rFonts w:ascii="Times New Roman" w:hAnsi="Times New Roman" w:cs="Times New Roman"/>
          <w:sz w:val="24"/>
          <w:szCs w:val="24"/>
        </w:rPr>
      </w:pPr>
    </w:p>
    <w:p w:rsidR="00B57F15" w:rsidRDefault="00B57F15" w:rsidP="00B57F15">
      <w:pPr>
        <w:tabs>
          <w:tab w:val="left" w:pos="567"/>
        </w:tabs>
        <w:rPr>
          <w:rFonts w:ascii="Times New Roman" w:hAnsi="Times New Roman" w:cs="Times New Roman"/>
          <w:sz w:val="24"/>
          <w:szCs w:val="24"/>
        </w:rPr>
      </w:pPr>
      <w:r>
        <w:rPr>
          <w:rFonts w:ascii="Times New Roman" w:hAnsi="Times New Roman" w:cs="Times New Roman"/>
          <w:sz w:val="24"/>
          <w:szCs w:val="24"/>
        </w:rPr>
        <w:lastRenderedPageBreak/>
        <w:t>In de communieviering</w:t>
      </w:r>
      <w:r>
        <w:rPr>
          <w:rFonts w:ascii="Times New Roman" w:hAnsi="Times New Roman" w:cs="Times New Roman"/>
          <w:b/>
          <w:sz w:val="24"/>
          <w:szCs w:val="24"/>
        </w:rPr>
        <w:t xml:space="preserve"> </w:t>
      </w:r>
      <w:r>
        <w:rPr>
          <w:rFonts w:ascii="Times New Roman" w:hAnsi="Times New Roman" w:cs="Times New Roman"/>
          <w:sz w:val="24"/>
          <w:szCs w:val="24"/>
        </w:rPr>
        <w:t xml:space="preserve">op zondag kunnen </w:t>
      </w:r>
      <w:r>
        <w:rPr>
          <w:rFonts w:ascii="Times New Roman" w:hAnsi="Times New Roman" w:cs="Times New Roman"/>
          <w:i/>
          <w:sz w:val="24"/>
          <w:szCs w:val="24"/>
        </w:rPr>
        <w:t>voorgaan</w:t>
      </w:r>
      <w:r>
        <w:rPr>
          <w:rFonts w:ascii="Times New Roman" w:hAnsi="Times New Roman" w:cs="Times New Roman"/>
          <w:sz w:val="24"/>
          <w:szCs w:val="24"/>
        </w:rPr>
        <w:t xml:space="preserve"> een diaken of een pastoraal werk(st)er of een leek, die daartoe in een cursus liturgie is opgeleid en gevormd. Allen gebruiken dezelfde teksten, alleen bij de begroeting, de evangelielezing en de slotzegen is er enig verschil. Uit de teksten die voor de diaken bestemd zijn, komt tot uitdrukking dat deze bij zijn wijding een speciale gave van de heilige Geest heeft ontvangen. </w:t>
      </w:r>
    </w:p>
    <w:p w:rsidR="00B57F15" w:rsidRDefault="00B57F15" w:rsidP="00B57F15">
      <w:pPr>
        <w:tabs>
          <w:tab w:val="left" w:pos="567"/>
        </w:tabs>
        <w:rPr>
          <w:rFonts w:ascii="Times New Roman" w:hAnsi="Times New Roman" w:cs="Times New Roman"/>
          <w:sz w:val="24"/>
          <w:szCs w:val="24"/>
        </w:rPr>
      </w:pPr>
    </w:p>
    <w:p w:rsidR="00B57F15" w:rsidRDefault="00B57F15" w:rsidP="00B57F15">
      <w:pPr>
        <w:tabs>
          <w:tab w:val="left" w:pos="567"/>
        </w:tabs>
        <w:rPr>
          <w:rFonts w:ascii="Times New Roman" w:hAnsi="Times New Roman" w:cs="Times New Roman"/>
          <w:sz w:val="24"/>
          <w:szCs w:val="24"/>
        </w:rPr>
      </w:pPr>
      <w:r>
        <w:rPr>
          <w:rFonts w:ascii="Times New Roman" w:hAnsi="Times New Roman" w:cs="Times New Roman"/>
          <w:sz w:val="24"/>
          <w:szCs w:val="24"/>
        </w:rPr>
        <w:t xml:space="preserve">Schematisch ziet de communieviering met de verschillende onderdelen er als volgt uit: </w:t>
      </w:r>
    </w:p>
    <w:p w:rsidR="00B57F15" w:rsidRDefault="00B57F15" w:rsidP="00B57F15">
      <w:pPr>
        <w:tabs>
          <w:tab w:val="left" w:pos="567"/>
        </w:tabs>
        <w:rPr>
          <w:rFonts w:ascii="Times New Roman" w:hAnsi="Times New Roman" w:cs="Times New Roman"/>
          <w:sz w:val="24"/>
          <w:szCs w:val="24"/>
        </w:rPr>
      </w:pPr>
    </w:p>
    <w:p w:rsidR="00B57F15" w:rsidRDefault="00B57F15" w:rsidP="00B57F15">
      <w:pPr>
        <w:tabs>
          <w:tab w:val="left" w:pos="567"/>
        </w:tabs>
        <w:rPr>
          <w:rFonts w:ascii="Times New Roman" w:hAnsi="Times New Roman" w:cs="Times New Roman"/>
          <w:sz w:val="28"/>
          <w:szCs w:val="28"/>
        </w:rPr>
      </w:pPr>
      <w:r>
        <w:rPr>
          <w:rFonts w:ascii="Times New Roman" w:hAnsi="Times New Roman" w:cs="Times New Roman"/>
          <w:sz w:val="28"/>
          <w:szCs w:val="28"/>
        </w:rPr>
        <w:t>Orde van dienst voor een communieviering</w:t>
      </w:r>
    </w:p>
    <w:p w:rsidR="00B57F15" w:rsidRDefault="00B57F15" w:rsidP="00B57F15">
      <w:pPr>
        <w:tabs>
          <w:tab w:val="left" w:pos="567"/>
        </w:tabs>
        <w:rPr>
          <w:rFonts w:ascii="Times New Roman" w:hAnsi="Times New Roman" w:cs="Times New Roman"/>
          <w:sz w:val="28"/>
          <w:szCs w:val="28"/>
        </w:rPr>
      </w:pPr>
    </w:p>
    <w:p w:rsidR="00B57F15" w:rsidRDefault="00B57F15" w:rsidP="00B57F15">
      <w:pPr>
        <w:tabs>
          <w:tab w:val="left" w:pos="567"/>
        </w:tabs>
        <w:rPr>
          <w:rFonts w:ascii="Times New Roman" w:hAnsi="Times New Roman" w:cs="Times New Roman"/>
          <w:i/>
          <w:sz w:val="28"/>
          <w:szCs w:val="28"/>
        </w:rPr>
      </w:pPr>
      <w:r>
        <w:rPr>
          <w:rFonts w:ascii="Times New Roman" w:hAnsi="Times New Roman" w:cs="Times New Roman"/>
          <w:i/>
          <w:sz w:val="28"/>
          <w:szCs w:val="28"/>
        </w:rPr>
        <w:t>Openingsritus</w:t>
      </w:r>
    </w:p>
    <w:p w:rsidR="00B57F15" w:rsidRDefault="00B57F15" w:rsidP="00B57F15">
      <w:pPr>
        <w:tabs>
          <w:tab w:val="left" w:pos="567"/>
        </w:tabs>
        <w:rPr>
          <w:rFonts w:ascii="Times New Roman" w:hAnsi="Times New Roman" w:cs="Times New Roman"/>
          <w:i/>
          <w:sz w:val="28"/>
          <w:szCs w:val="28"/>
        </w:rPr>
      </w:pPr>
    </w:p>
    <w:p w:rsidR="00B57F15" w:rsidRPr="008952BD" w:rsidRDefault="00B57F15" w:rsidP="00B57F15">
      <w:pPr>
        <w:pStyle w:val="Lijstalinea"/>
        <w:numPr>
          <w:ilvl w:val="0"/>
          <w:numId w:val="2"/>
        </w:numPr>
        <w:tabs>
          <w:tab w:val="left" w:pos="567"/>
        </w:tabs>
        <w:rPr>
          <w:rFonts w:ascii="Times New Roman" w:hAnsi="Times New Roman" w:cs="Times New Roman"/>
          <w:b/>
          <w:sz w:val="24"/>
          <w:szCs w:val="24"/>
        </w:rPr>
      </w:pPr>
      <w:r>
        <w:rPr>
          <w:rFonts w:ascii="Times New Roman" w:hAnsi="Times New Roman" w:cs="Times New Roman"/>
          <w:b/>
          <w:sz w:val="24"/>
          <w:szCs w:val="24"/>
        </w:rPr>
        <w:t>Openingsgezang</w:t>
      </w:r>
    </w:p>
    <w:p w:rsidR="00B57F15" w:rsidRDefault="00B57F15" w:rsidP="00B57F15">
      <w:pPr>
        <w:tabs>
          <w:tab w:val="left" w:pos="567"/>
        </w:tabs>
        <w:ind w:left="720"/>
        <w:rPr>
          <w:rFonts w:ascii="Times New Roman" w:hAnsi="Times New Roman" w:cs="Times New Roman"/>
          <w:b/>
          <w:sz w:val="24"/>
          <w:szCs w:val="24"/>
        </w:rPr>
      </w:pPr>
    </w:p>
    <w:p w:rsidR="00B57F15" w:rsidRDefault="00B57F15" w:rsidP="00B57F15">
      <w:pPr>
        <w:tabs>
          <w:tab w:val="left" w:pos="567"/>
        </w:tabs>
        <w:rPr>
          <w:rFonts w:ascii="Times New Roman" w:hAnsi="Times New Roman" w:cs="Times New Roman"/>
          <w:i/>
          <w:sz w:val="24"/>
          <w:szCs w:val="24"/>
        </w:rPr>
      </w:pPr>
      <w:r>
        <w:rPr>
          <w:rFonts w:ascii="Times New Roman" w:hAnsi="Times New Roman" w:cs="Times New Roman"/>
          <w:i/>
          <w:sz w:val="24"/>
          <w:szCs w:val="24"/>
        </w:rPr>
        <w:t xml:space="preserve">Dit wordt op de gebruikelijke manier door alle aanwezigen gezongen. Tijdens het zingen van het gezang bij de opening of de Latijnse </w:t>
      </w:r>
      <w:proofErr w:type="spellStart"/>
      <w:r>
        <w:rPr>
          <w:rFonts w:ascii="Times New Roman" w:hAnsi="Times New Roman" w:cs="Times New Roman"/>
          <w:i/>
          <w:sz w:val="24"/>
          <w:szCs w:val="24"/>
        </w:rPr>
        <w:t>introitus</w:t>
      </w:r>
      <w:proofErr w:type="spellEnd"/>
      <w:r>
        <w:rPr>
          <w:rFonts w:ascii="Times New Roman" w:hAnsi="Times New Roman" w:cs="Times New Roman"/>
          <w:i/>
          <w:sz w:val="24"/>
          <w:szCs w:val="24"/>
        </w:rPr>
        <w:t xml:space="preserve"> van de betreffende zondag gaat degene die de viering leidt, samen met de assistenten naar de altaar-ruimte. In deze processie wordt het evangelieboek meegedragen, begeleid door twee misdienaars met brandende kaarsen. Het boek wordt op de ambo neergelegd. Om tot uitdrukking te brengen dat degene die de viering leidt dit doet op grond van zijn doopsel en vormsel, draagt deze bij voorkeur een albe, het witte doopkleed van elke gedoopte of een overeenkomstig gewaad. Het is tevens een teken dat men niet in eigen naam de viering leidt. Een diaken draagt over de albe een stool en op feestdagen ook een dalmatiek. Bij het altaar gekomen, maken zij de gebruikelijke eerbiedsbetuiging en gaan direct naar een voor hen gereedstaande zitplaats. Omdat het altaar direct verwijst naar de </w:t>
      </w:r>
      <w:r w:rsidRPr="00CA0567">
        <w:rPr>
          <w:rFonts w:ascii="Times New Roman" w:hAnsi="Times New Roman" w:cs="Times New Roman"/>
          <w:i/>
          <w:sz w:val="24"/>
          <w:szCs w:val="24"/>
        </w:rPr>
        <w:t>eucharistieviering</w:t>
      </w:r>
      <w:r>
        <w:rPr>
          <w:rFonts w:ascii="Times New Roman" w:hAnsi="Times New Roman" w:cs="Times New Roman"/>
          <w:i/>
          <w:sz w:val="24"/>
          <w:szCs w:val="24"/>
        </w:rPr>
        <w:t xml:space="preserve">, zal men pas bij de viering van de communie naar het altaar gaan. </w:t>
      </w:r>
    </w:p>
    <w:p w:rsidR="00B57F15" w:rsidRDefault="00B57F15" w:rsidP="00B57F15">
      <w:pPr>
        <w:tabs>
          <w:tab w:val="left" w:pos="567"/>
        </w:tabs>
        <w:rPr>
          <w:rFonts w:ascii="Times New Roman" w:hAnsi="Times New Roman" w:cs="Times New Roman"/>
          <w:i/>
          <w:sz w:val="24"/>
          <w:szCs w:val="24"/>
        </w:rPr>
      </w:pPr>
    </w:p>
    <w:p w:rsidR="00B57F15" w:rsidRDefault="00B57F15" w:rsidP="00B57F15">
      <w:pPr>
        <w:pStyle w:val="Lijstalinea"/>
        <w:numPr>
          <w:ilvl w:val="0"/>
          <w:numId w:val="2"/>
        </w:numPr>
        <w:tabs>
          <w:tab w:val="left" w:pos="567"/>
        </w:tabs>
        <w:rPr>
          <w:rFonts w:ascii="Times New Roman" w:hAnsi="Times New Roman" w:cs="Times New Roman"/>
          <w:sz w:val="24"/>
          <w:szCs w:val="24"/>
        </w:rPr>
      </w:pPr>
      <w:r>
        <w:rPr>
          <w:rFonts w:ascii="Times New Roman" w:hAnsi="Times New Roman" w:cs="Times New Roman"/>
          <w:b/>
          <w:sz w:val="24"/>
          <w:szCs w:val="24"/>
        </w:rPr>
        <w:lastRenderedPageBreak/>
        <w:t>Kruisteken en groet</w:t>
      </w:r>
    </w:p>
    <w:p w:rsidR="00B57F15" w:rsidRDefault="00B57F15" w:rsidP="00B57F15">
      <w:pPr>
        <w:tabs>
          <w:tab w:val="left" w:pos="567"/>
        </w:tabs>
        <w:rPr>
          <w:rFonts w:ascii="Times New Roman" w:hAnsi="Times New Roman" w:cs="Times New Roman"/>
          <w:sz w:val="24"/>
          <w:szCs w:val="24"/>
        </w:rPr>
      </w:pPr>
    </w:p>
    <w:p w:rsidR="00B57F15" w:rsidRDefault="00B57F15" w:rsidP="00B57F15">
      <w:pPr>
        <w:tabs>
          <w:tab w:val="left" w:pos="567"/>
        </w:tabs>
        <w:rPr>
          <w:rFonts w:ascii="Times New Roman" w:hAnsi="Times New Roman" w:cs="Times New Roman"/>
          <w:i/>
          <w:sz w:val="24"/>
          <w:szCs w:val="24"/>
        </w:rPr>
      </w:pPr>
      <w:r>
        <w:rPr>
          <w:rFonts w:ascii="Times New Roman" w:hAnsi="Times New Roman" w:cs="Times New Roman"/>
          <w:i/>
          <w:sz w:val="24"/>
          <w:szCs w:val="24"/>
        </w:rPr>
        <w:t xml:space="preserve">Degene die de viering leidt, opent deze door direct aan het begin het kruisteken te maken en de groet uit te spreken, zoals aangegeven bij de teksten naar keuze. Ook kunnen deze gezongen worden. Dit gebeurt vanaf de zitplaats of de ambo; het altaar is daarvoor niet de geëigende plaats. </w:t>
      </w:r>
    </w:p>
    <w:p w:rsidR="00B57F15" w:rsidRDefault="00B57F15" w:rsidP="00B57F15">
      <w:pPr>
        <w:tabs>
          <w:tab w:val="left" w:pos="567"/>
        </w:tabs>
        <w:ind w:left="720"/>
        <w:rPr>
          <w:rFonts w:ascii="Times New Roman" w:hAnsi="Times New Roman" w:cs="Times New Roman"/>
          <w:i/>
          <w:sz w:val="24"/>
          <w:szCs w:val="24"/>
        </w:rPr>
      </w:pPr>
    </w:p>
    <w:p w:rsidR="00B57F15" w:rsidRDefault="00B57F15" w:rsidP="00B57F15">
      <w:pPr>
        <w:pStyle w:val="Lijstalinea"/>
        <w:numPr>
          <w:ilvl w:val="0"/>
          <w:numId w:val="2"/>
        </w:numPr>
        <w:tabs>
          <w:tab w:val="left" w:pos="567"/>
        </w:tabs>
        <w:rPr>
          <w:rFonts w:ascii="Times New Roman" w:hAnsi="Times New Roman" w:cs="Times New Roman"/>
          <w:sz w:val="24"/>
          <w:szCs w:val="24"/>
        </w:rPr>
      </w:pPr>
      <w:r>
        <w:rPr>
          <w:rFonts w:ascii="Times New Roman" w:hAnsi="Times New Roman" w:cs="Times New Roman"/>
          <w:b/>
          <w:sz w:val="24"/>
          <w:szCs w:val="24"/>
        </w:rPr>
        <w:t>Woord ter inleiding</w:t>
      </w:r>
    </w:p>
    <w:p w:rsidR="00B57F15" w:rsidRDefault="00B57F15" w:rsidP="00B57F15">
      <w:pPr>
        <w:tabs>
          <w:tab w:val="left" w:pos="567"/>
        </w:tabs>
        <w:rPr>
          <w:rFonts w:ascii="Times New Roman" w:hAnsi="Times New Roman" w:cs="Times New Roman"/>
          <w:sz w:val="24"/>
          <w:szCs w:val="24"/>
        </w:rPr>
      </w:pPr>
    </w:p>
    <w:p w:rsidR="00B57F15" w:rsidRDefault="00B57F15" w:rsidP="00B57F15">
      <w:pPr>
        <w:tabs>
          <w:tab w:val="left" w:pos="567"/>
        </w:tabs>
        <w:rPr>
          <w:rFonts w:ascii="Times New Roman" w:hAnsi="Times New Roman" w:cs="Times New Roman"/>
          <w:i/>
          <w:sz w:val="24"/>
          <w:szCs w:val="24"/>
        </w:rPr>
      </w:pPr>
      <w:r>
        <w:rPr>
          <w:rFonts w:ascii="Times New Roman" w:hAnsi="Times New Roman" w:cs="Times New Roman"/>
          <w:i/>
          <w:sz w:val="24"/>
          <w:szCs w:val="24"/>
        </w:rPr>
        <w:t xml:space="preserve">Dit woord heeft de bedoeling de gelovigen in te leiden in de viering van deze dag. In deze inleiding zal naast een verwoording van de kerngedachte van de schriftlezingen van de zondag uitdrukkelijk verwezen worden naar de </w:t>
      </w:r>
      <w:r w:rsidRPr="00CA0567">
        <w:rPr>
          <w:rFonts w:ascii="Times New Roman" w:hAnsi="Times New Roman" w:cs="Times New Roman"/>
          <w:i/>
          <w:sz w:val="24"/>
          <w:szCs w:val="24"/>
        </w:rPr>
        <w:t>eucharistieviering</w:t>
      </w:r>
      <w:r>
        <w:rPr>
          <w:rFonts w:ascii="Times New Roman" w:hAnsi="Times New Roman" w:cs="Times New Roman"/>
          <w:i/>
          <w:sz w:val="24"/>
          <w:szCs w:val="24"/>
        </w:rPr>
        <w:t xml:space="preserve"> waarmee de samengekomen gemeenschap verbonden is door de hosties die tijdens de </w:t>
      </w:r>
      <w:r w:rsidRPr="00CA0567">
        <w:rPr>
          <w:rFonts w:ascii="Times New Roman" w:hAnsi="Times New Roman" w:cs="Times New Roman"/>
          <w:i/>
          <w:sz w:val="24"/>
          <w:szCs w:val="24"/>
        </w:rPr>
        <w:t>communie</w:t>
      </w:r>
      <w:r>
        <w:rPr>
          <w:rFonts w:ascii="Times New Roman" w:hAnsi="Times New Roman" w:cs="Times New Roman"/>
          <w:i/>
          <w:sz w:val="24"/>
          <w:szCs w:val="24"/>
        </w:rPr>
        <w:t>-</w:t>
      </w:r>
      <w:r w:rsidRPr="00CA0567">
        <w:rPr>
          <w:rFonts w:ascii="Times New Roman" w:hAnsi="Times New Roman" w:cs="Times New Roman"/>
          <w:i/>
          <w:sz w:val="24"/>
          <w:szCs w:val="24"/>
        </w:rPr>
        <w:t>viering</w:t>
      </w:r>
      <w:r>
        <w:rPr>
          <w:rFonts w:ascii="Times New Roman" w:hAnsi="Times New Roman" w:cs="Times New Roman"/>
          <w:i/>
          <w:sz w:val="24"/>
          <w:szCs w:val="24"/>
        </w:rPr>
        <w:t xml:space="preserve"> uitgedeeld worden. </w:t>
      </w:r>
    </w:p>
    <w:p w:rsidR="00B57F15" w:rsidRDefault="00B57F15" w:rsidP="00B57F15">
      <w:pPr>
        <w:tabs>
          <w:tab w:val="left" w:pos="567"/>
        </w:tabs>
        <w:rPr>
          <w:rFonts w:ascii="Times New Roman" w:hAnsi="Times New Roman" w:cs="Times New Roman"/>
          <w:i/>
          <w:sz w:val="24"/>
          <w:szCs w:val="24"/>
        </w:rPr>
      </w:pPr>
      <w:r>
        <w:rPr>
          <w:rFonts w:ascii="Times New Roman" w:hAnsi="Times New Roman" w:cs="Times New Roman"/>
          <w:i/>
          <w:sz w:val="24"/>
          <w:szCs w:val="24"/>
        </w:rPr>
        <w:t xml:space="preserve">Het inleidend woord wordt besloten met een inleiding op de schuldbelijdenis, waarin de gelovigen uitgenodigd worden om zich in stilte te bezinnen op eigen fouten en tekortkomingen tegenover God, de naaste en de gemeenschap en de tekorten van ons als gemeenschap. </w:t>
      </w:r>
    </w:p>
    <w:p w:rsidR="00B57F15" w:rsidRDefault="00B57F15" w:rsidP="00B57F15">
      <w:pPr>
        <w:tabs>
          <w:tab w:val="left" w:pos="567"/>
        </w:tabs>
        <w:rPr>
          <w:rFonts w:ascii="Times New Roman" w:hAnsi="Times New Roman" w:cs="Times New Roman"/>
          <w:sz w:val="24"/>
          <w:szCs w:val="24"/>
        </w:rPr>
      </w:pPr>
    </w:p>
    <w:p w:rsidR="00B57F15" w:rsidRDefault="00B57F15" w:rsidP="00B57F15">
      <w:pPr>
        <w:pStyle w:val="Lijstalinea"/>
        <w:numPr>
          <w:ilvl w:val="0"/>
          <w:numId w:val="2"/>
        </w:numPr>
        <w:tabs>
          <w:tab w:val="left" w:pos="567"/>
        </w:tabs>
        <w:rPr>
          <w:rFonts w:ascii="Times New Roman" w:hAnsi="Times New Roman" w:cs="Times New Roman"/>
          <w:sz w:val="24"/>
          <w:szCs w:val="24"/>
        </w:rPr>
      </w:pPr>
      <w:r>
        <w:rPr>
          <w:rFonts w:ascii="Times New Roman" w:hAnsi="Times New Roman" w:cs="Times New Roman"/>
          <w:b/>
          <w:sz w:val="24"/>
          <w:szCs w:val="24"/>
        </w:rPr>
        <w:t>Schuldbelijdenis of kyrie-litanie</w:t>
      </w:r>
    </w:p>
    <w:p w:rsidR="00B57F15" w:rsidRDefault="00B57F15" w:rsidP="00B57F15">
      <w:pPr>
        <w:tabs>
          <w:tab w:val="left" w:pos="567"/>
        </w:tabs>
        <w:rPr>
          <w:rFonts w:ascii="Times New Roman" w:hAnsi="Times New Roman" w:cs="Times New Roman"/>
          <w:sz w:val="24"/>
          <w:szCs w:val="24"/>
        </w:rPr>
      </w:pPr>
    </w:p>
    <w:p w:rsidR="00B57F15" w:rsidRDefault="00B57F15" w:rsidP="00B57F15">
      <w:pPr>
        <w:tabs>
          <w:tab w:val="left" w:pos="567"/>
        </w:tabs>
        <w:rPr>
          <w:rFonts w:ascii="Times New Roman" w:hAnsi="Times New Roman" w:cs="Times New Roman"/>
          <w:sz w:val="24"/>
          <w:szCs w:val="24"/>
        </w:rPr>
      </w:pPr>
      <w:r>
        <w:rPr>
          <w:rFonts w:ascii="Times New Roman" w:hAnsi="Times New Roman" w:cs="Times New Roman"/>
          <w:i/>
          <w:sz w:val="24"/>
          <w:szCs w:val="24"/>
        </w:rPr>
        <w:t xml:space="preserve">Na het bezinningsmoment in stilte volgt de schuldbelijdenis, waaraan op verschillende wijzen vorm gegeven kan worden. Bij voorkeur zal deze belijdenis van heel de gemeenschap gezongen worden, bijvoorbeeld in vorm van de kyrie-litanie, waarvan het </w:t>
      </w:r>
      <w:r>
        <w:rPr>
          <w:rFonts w:ascii="Times New Roman" w:hAnsi="Times New Roman" w:cs="Times New Roman"/>
          <w:sz w:val="24"/>
          <w:szCs w:val="24"/>
        </w:rPr>
        <w:t>Heer, ontferm U over ons</w:t>
      </w:r>
      <w:r>
        <w:rPr>
          <w:rFonts w:ascii="Times New Roman" w:hAnsi="Times New Roman" w:cs="Times New Roman"/>
          <w:i/>
          <w:sz w:val="24"/>
          <w:szCs w:val="24"/>
        </w:rPr>
        <w:t xml:space="preserve"> deel uitmaakt. De belijdenis wordt afgesloten met het gebed om vergeving, zie teksten naar keuzen. Na deze boete-act volgt dan geen enkel gezang meer, zoals bijvoorbeeld het </w:t>
      </w:r>
      <w:r>
        <w:rPr>
          <w:rFonts w:ascii="Times New Roman" w:hAnsi="Times New Roman" w:cs="Times New Roman"/>
          <w:sz w:val="24"/>
          <w:szCs w:val="24"/>
        </w:rPr>
        <w:t xml:space="preserve">Eer aan God in den hoge. </w:t>
      </w:r>
    </w:p>
    <w:p w:rsidR="00B57F15" w:rsidRDefault="00B57F15" w:rsidP="00B57F15">
      <w:pPr>
        <w:tabs>
          <w:tab w:val="left" w:pos="567"/>
        </w:tabs>
        <w:rPr>
          <w:rFonts w:ascii="Times New Roman" w:hAnsi="Times New Roman" w:cs="Times New Roman"/>
          <w:sz w:val="24"/>
          <w:szCs w:val="24"/>
        </w:rPr>
      </w:pPr>
    </w:p>
    <w:p w:rsidR="00B57F15" w:rsidRDefault="00B57F15" w:rsidP="00B57F15">
      <w:pPr>
        <w:pStyle w:val="Lijstalinea"/>
        <w:numPr>
          <w:ilvl w:val="0"/>
          <w:numId w:val="2"/>
        </w:numPr>
        <w:tabs>
          <w:tab w:val="left" w:pos="567"/>
        </w:tabs>
        <w:rPr>
          <w:rFonts w:ascii="Times New Roman" w:hAnsi="Times New Roman" w:cs="Times New Roman"/>
          <w:sz w:val="24"/>
          <w:szCs w:val="24"/>
        </w:rPr>
      </w:pPr>
      <w:r>
        <w:rPr>
          <w:rFonts w:ascii="Times New Roman" w:hAnsi="Times New Roman" w:cs="Times New Roman"/>
          <w:b/>
          <w:sz w:val="24"/>
          <w:szCs w:val="24"/>
        </w:rPr>
        <w:t>Openingsgebed</w:t>
      </w:r>
    </w:p>
    <w:p w:rsidR="00B57F15" w:rsidRDefault="00B57F15" w:rsidP="00B57F15">
      <w:pPr>
        <w:tabs>
          <w:tab w:val="left" w:pos="567"/>
        </w:tabs>
        <w:rPr>
          <w:rFonts w:ascii="Times New Roman" w:hAnsi="Times New Roman" w:cs="Times New Roman"/>
          <w:sz w:val="24"/>
          <w:szCs w:val="24"/>
        </w:rPr>
      </w:pPr>
    </w:p>
    <w:p w:rsidR="00B57F15" w:rsidRDefault="00B57F15" w:rsidP="00B57F15">
      <w:pPr>
        <w:tabs>
          <w:tab w:val="left" w:pos="567"/>
        </w:tabs>
        <w:rPr>
          <w:rFonts w:ascii="Times New Roman" w:hAnsi="Times New Roman" w:cs="Times New Roman"/>
          <w:i/>
          <w:sz w:val="24"/>
          <w:szCs w:val="24"/>
        </w:rPr>
      </w:pPr>
      <w:r>
        <w:rPr>
          <w:rFonts w:ascii="Times New Roman" w:hAnsi="Times New Roman" w:cs="Times New Roman"/>
          <w:i/>
          <w:sz w:val="24"/>
          <w:szCs w:val="24"/>
        </w:rPr>
        <w:lastRenderedPageBreak/>
        <w:t xml:space="preserve">De opening van de viering wordt besloten met het gebed, dat tegelijkertijd een inleiding is op de schriftlezingen in de dienst van het woord. Men kan hiervoor het best het gebed nemen van de liturgie van de dag, zoals staat in het altaar missaal of het getijdenboek. </w:t>
      </w:r>
    </w:p>
    <w:p w:rsidR="00B57F15" w:rsidRDefault="00B57F15" w:rsidP="00B57F15">
      <w:pPr>
        <w:tabs>
          <w:tab w:val="left" w:pos="567"/>
        </w:tabs>
        <w:rPr>
          <w:rFonts w:ascii="Times New Roman" w:hAnsi="Times New Roman" w:cs="Times New Roman"/>
          <w:i/>
          <w:sz w:val="24"/>
          <w:szCs w:val="24"/>
        </w:rPr>
      </w:pPr>
    </w:p>
    <w:p w:rsidR="00B57F15" w:rsidRDefault="00B57F15" w:rsidP="00B57F15">
      <w:pPr>
        <w:tabs>
          <w:tab w:val="left" w:pos="567"/>
        </w:tabs>
        <w:rPr>
          <w:rFonts w:ascii="Times New Roman" w:hAnsi="Times New Roman" w:cs="Times New Roman"/>
          <w:i/>
          <w:sz w:val="28"/>
          <w:szCs w:val="28"/>
        </w:rPr>
      </w:pPr>
      <w:r>
        <w:rPr>
          <w:rFonts w:ascii="Times New Roman" w:hAnsi="Times New Roman" w:cs="Times New Roman"/>
          <w:i/>
          <w:sz w:val="28"/>
          <w:szCs w:val="28"/>
        </w:rPr>
        <w:t>Viering van het woord</w:t>
      </w:r>
    </w:p>
    <w:p w:rsidR="00B57F15" w:rsidRDefault="00B57F15" w:rsidP="00B57F15">
      <w:pPr>
        <w:tabs>
          <w:tab w:val="left" w:pos="567"/>
        </w:tabs>
        <w:rPr>
          <w:rFonts w:ascii="Times New Roman" w:hAnsi="Times New Roman" w:cs="Times New Roman"/>
          <w:i/>
          <w:sz w:val="28"/>
          <w:szCs w:val="28"/>
        </w:rPr>
      </w:pPr>
    </w:p>
    <w:p w:rsidR="00B57F15" w:rsidRDefault="00B57F15" w:rsidP="00B57F15">
      <w:pPr>
        <w:tabs>
          <w:tab w:val="left" w:pos="567"/>
        </w:tabs>
        <w:rPr>
          <w:rFonts w:ascii="Times New Roman" w:hAnsi="Times New Roman" w:cs="Times New Roman"/>
          <w:i/>
          <w:sz w:val="24"/>
          <w:szCs w:val="24"/>
        </w:rPr>
      </w:pPr>
      <w:r>
        <w:rPr>
          <w:rFonts w:ascii="Times New Roman" w:hAnsi="Times New Roman" w:cs="Times New Roman"/>
          <w:i/>
          <w:sz w:val="24"/>
          <w:szCs w:val="24"/>
        </w:rPr>
        <w:t xml:space="preserve">De viering van het woord vindt plaats op de gebruikelijke manier. Vanwege een goede taakverdeling en het onderscheid in functies dragen lectoren de schriftlezingen voor. Om meer reliëf te geven aan de dienst van het woord verdient het de voorkeur het aantal lezingen niet te beperken, maar zal men naast de lezing uit het evangelie ook de twee andere schriftlezingen laten klinken. </w:t>
      </w:r>
    </w:p>
    <w:p w:rsidR="00B57F15" w:rsidRDefault="00B57F15" w:rsidP="00B57F15">
      <w:pPr>
        <w:tabs>
          <w:tab w:val="left" w:pos="567"/>
        </w:tabs>
        <w:rPr>
          <w:rFonts w:ascii="Times New Roman" w:hAnsi="Times New Roman" w:cs="Times New Roman"/>
          <w:i/>
          <w:sz w:val="24"/>
          <w:szCs w:val="24"/>
        </w:rPr>
      </w:pPr>
    </w:p>
    <w:p w:rsidR="00B57F15" w:rsidRDefault="00B57F15" w:rsidP="00B57F15">
      <w:pPr>
        <w:pStyle w:val="Lijstalinea"/>
        <w:numPr>
          <w:ilvl w:val="0"/>
          <w:numId w:val="2"/>
        </w:numPr>
        <w:tabs>
          <w:tab w:val="left" w:pos="567"/>
        </w:tabs>
        <w:rPr>
          <w:rFonts w:ascii="Times New Roman" w:hAnsi="Times New Roman" w:cs="Times New Roman"/>
          <w:sz w:val="24"/>
          <w:szCs w:val="24"/>
        </w:rPr>
      </w:pPr>
      <w:r>
        <w:rPr>
          <w:rFonts w:ascii="Times New Roman" w:hAnsi="Times New Roman" w:cs="Times New Roman"/>
          <w:b/>
          <w:sz w:val="24"/>
          <w:szCs w:val="24"/>
        </w:rPr>
        <w:t>Eerste lezing</w:t>
      </w:r>
    </w:p>
    <w:p w:rsidR="00B57F15" w:rsidRDefault="00B57F15" w:rsidP="00B57F15">
      <w:pPr>
        <w:tabs>
          <w:tab w:val="left" w:pos="567"/>
        </w:tabs>
        <w:rPr>
          <w:rFonts w:ascii="Times New Roman" w:hAnsi="Times New Roman" w:cs="Times New Roman"/>
          <w:sz w:val="24"/>
          <w:szCs w:val="24"/>
        </w:rPr>
      </w:pPr>
    </w:p>
    <w:p w:rsidR="00B57F15" w:rsidRDefault="00B57F15" w:rsidP="00B57F15">
      <w:pPr>
        <w:tabs>
          <w:tab w:val="left" w:pos="567"/>
        </w:tabs>
        <w:rPr>
          <w:rFonts w:ascii="Times New Roman" w:hAnsi="Times New Roman" w:cs="Times New Roman"/>
          <w:i/>
          <w:sz w:val="24"/>
          <w:szCs w:val="24"/>
        </w:rPr>
      </w:pPr>
      <w:r>
        <w:rPr>
          <w:rFonts w:ascii="Times New Roman" w:hAnsi="Times New Roman" w:cs="Times New Roman"/>
          <w:i/>
          <w:sz w:val="24"/>
          <w:szCs w:val="24"/>
        </w:rPr>
        <w:t xml:space="preserve">Vanwege ons respect voor het woord van God wordt de schriftlezing voorgelezen uit het lectionarium. Hier en daar is het gebruik dat een van de misdienaars het lectionarium aan de lector geeft, zoals ook aan Christus de boekrol werd overhandigd in de synagoge om daaruit voor te lezen. </w:t>
      </w:r>
    </w:p>
    <w:p w:rsidR="00B57F15" w:rsidRDefault="00B57F15" w:rsidP="00B57F15">
      <w:pPr>
        <w:tabs>
          <w:tab w:val="left" w:pos="567"/>
        </w:tabs>
        <w:rPr>
          <w:rFonts w:ascii="Times New Roman" w:hAnsi="Times New Roman" w:cs="Times New Roman"/>
          <w:sz w:val="24"/>
          <w:szCs w:val="24"/>
        </w:rPr>
      </w:pPr>
      <w:r>
        <w:rPr>
          <w:rFonts w:ascii="Times New Roman" w:hAnsi="Times New Roman" w:cs="Times New Roman"/>
          <w:i/>
          <w:sz w:val="24"/>
          <w:szCs w:val="24"/>
        </w:rPr>
        <w:t xml:space="preserve">De schriftlezing wordt besloten met: </w:t>
      </w:r>
      <w:r>
        <w:rPr>
          <w:rFonts w:ascii="Times New Roman" w:hAnsi="Times New Roman" w:cs="Times New Roman"/>
          <w:sz w:val="24"/>
          <w:szCs w:val="24"/>
        </w:rPr>
        <w:t>Zo spreekt de Heer</w:t>
      </w:r>
      <w:r>
        <w:rPr>
          <w:rFonts w:ascii="Times New Roman" w:hAnsi="Times New Roman" w:cs="Times New Roman"/>
          <w:i/>
          <w:sz w:val="24"/>
          <w:szCs w:val="24"/>
        </w:rPr>
        <w:t xml:space="preserve"> en de acclamatie </w:t>
      </w:r>
      <w:r>
        <w:rPr>
          <w:rFonts w:ascii="Times New Roman" w:hAnsi="Times New Roman" w:cs="Times New Roman"/>
          <w:sz w:val="24"/>
          <w:szCs w:val="24"/>
        </w:rPr>
        <w:t xml:space="preserve">Wij danken God. </w:t>
      </w:r>
    </w:p>
    <w:p w:rsidR="00B57F15" w:rsidRDefault="00B57F15" w:rsidP="00B57F15">
      <w:pPr>
        <w:tabs>
          <w:tab w:val="left" w:pos="567"/>
        </w:tabs>
        <w:rPr>
          <w:rFonts w:ascii="Times New Roman" w:hAnsi="Times New Roman" w:cs="Times New Roman"/>
          <w:sz w:val="24"/>
          <w:szCs w:val="24"/>
        </w:rPr>
      </w:pPr>
    </w:p>
    <w:p w:rsidR="00B57F15" w:rsidRDefault="00B57F15" w:rsidP="00B57F15">
      <w:pPr>
        <w:pStyle w:val="Lijstalinea"/>
        <w:numPr>
          <w:ilvl w:val="0"/>
          <w:numId w:val="2"/>
        </w:numPr>
        <w:tabs>
          <w:tab w:val="left" w:pos="567"/>
        </w:tabs>
        <w:rPr>
          <w:rFonts w:ascii="Times New Roman" w:hAnsi="Times New Roman" w:cs="Times New Roman"/>
          <w:sz w:val="24"/>
          <w:szCs w:val="24"/>
        </w:rPr>
      </w:pPr>
      <w:r>
        <w:rPr>
          <w:rFonts w:ascii="Times New Roman" w:hAnsi="Times New Roman" w:cs="Times New Roman"/>
          <w:b/>
          <w:sz w:val="24"/>
          <w:szCs w:val="24"/>
        </w:rPr>
        <w:t>Antwoordpsalm</w:t>
      </w:r>
    </w:p>
    <w:p w:rsidR="00B57F15" w:rsidRDefault="00B57F15" w:rsidP="00B57F15">
      <w:pPr>
        <w:tabs>
          <w:tab w:val="left" w:pos="567"/>
        </w:tabs>
        <w:rPr>
          <w:rFonts w:ascii="Times New Roman" w:hAnsi="Times New Roman" w:cs="Times New Roman"/>
          <w:sz w:val="24"/>
          <w:szCs w:val="24"/>
        </w:rPr>
      </w:pPr>
    </w:p>
    <w:p w:rsidR="00B57F15" w:rsidRDefault="00B57F15" w:rsidP="00B57F15">
      <w:pPr>
        <w:tabs>
          <w:tab w:val="left" w:pos="567"/>
        </w:tabs>
        <w:rPr>
          <w:rFonts w:ascii="Times New Roman" w:hAnsi="Times New Roman" w:cs="Times New Roman"/>
          <w:i/>
          <w:sz w:val="24"/>
          <w:szCs w:val="24"/>
        </w:rPr>
      </w:pPr>
      <w:r>
        <w:rPr>
          <w:rFonts w:ascii="Times New Roman" w:hAnsi="Times New Roman" w:cs="Times New Roman"/>
          <w:i/>
          <w:sz w:val="24"/>
          <w:szCs w:val="24"/>
        </w:rPr>
        <w:t xml:space="preserve">Kenmerk van de antwoordpsalm is dat daaraan alle gelovigen deelnemen door het zingen van het refrein. Het koor of de cantor kan de strofen zingen. Deze strofen kunnen ook meerstemmig gezongen worden. men zal de antwoordpsalm niet vervangen door een aangepast lied, omdat het de bedoeling is dat het woord van de Schrift zelf klinkt. </w:t>
      </w:r>
      <w:r>
        <w:rPr>
          <w:rFonts w:ascii="Times New Roman" w:hAnsi="Times New Roman" w:cs="Times New Roman"/>
          <w:i/>
          <w:sz w:val="24"/>
          <w:szCs w:val="24"/>
        </w:rPr>
        <w:lastRenderedPageBreak/>
        <w:t xml:space="preserve">In een viering met Latijnse gezangen kan men als antwoordpsalm het graduale of de tractus van de betreffende zondag zingen. </w:t>
      </w:r>
    </w:p>
    <w:p w:rsidR="00B57F15" w:rsidRDefault="00B57F15" w:rsidP="00B57F15">
      <w:pPr>
        <w:tabs>
          <w:tab w:val="left" w:pos="567"/>
        </w:tabs>
        <w:rPr>
          <w:rFonts w:ascii="Times New Roman" w:hAnsi="Times New Roman" w:cs="Times New Roman"/>
          <w:i/>
          <w:sz w:val="24"/>
          <w:szCs w:val="24"/>
        </w:rPr>
      </w:pPr>
    </w:p>
    <w:p w:rsidR="00B57F15" w:rsidRDefault="00B57F15" w:rsidP="00B57F15">
      <w:pPr>
        <w:pStyle w:val="Lijstalinea"/>
        <w:numPr>
          <w:ilvl w:val="0"/>
          <w:numId w:val="2"/>
        </w:numPr>
        <w:tabs>
          <w:tab w:val="left" w:pos="567"/>
        </w:tabs>
        <w:rPr>
          <w:rFonts w:ascii="Times New Roman" w:hAnsi="Times New Roman" w:cs="Times New Roman"/>
          <w:sz w:val="24"/>
          <w:szCs w:val="24"/>
        </w:rPr>
      </w:pPr>
      <w:r>
        <w:rPr>
          <w:rFonts w:ascii="Times New Roman" w:hAnsi="Times New Roman" w:cs="Times New Roman"/>
          <w:b/>
          <w:sz w:val="24"/>
          <w:szCs w:val="24"/>
        </w:rPr>
        <w:t>Tweede lezing</w:t>
      </w:r>
    </w:p>
    <w:p w:rsidR="00B57F15" w:rsidRDefault="00B57F15" w:rsidP="00B57F15">
      <w:pPr>
        <w:tabs>
          <w:tab w:val="left" w:pos="567"/>
        </w:tabs>
        <w:rPr>
          <w:rFonts w:ascii="Times New Roman" w:hAnsi="Times New Roman" w:cs="Times New Roman"/>
          <w:sz w:val="24"/>
          <w:szCs w:val="24"/>
        </w:rPr>
      </w:pPr>
    </w:p>
    <w:p w:rsidR="00B57F15" w:rsidRDefault="00B57F15" w:rsidP="00B57F15">
      <w:pPr>
        <w:tabs>
          <w:tab w:val="left" w:pos="567"/>
        </w:tabs>
        <w:rPr>
          <w:rFonts w:ascii="Times New Roman" w:hAnsi="Times New Roman" w:cs="Times New Roman"/>
          <w:i/>
          <w:sz w:val="24"/>
          <w:szCs w:val="24"/>
        </w:rPr>
      </w:pPr>
      <w:r>
        <w:rPr>
          <w:rFonts w:ascii="Times New Roman" w:hAnsi="Times New Roman" w:cs="Times New Roman"/>
          <w:i/>
          <w:sz w:val="24"/>
          <w:szCs w:val="24"/>
        </w:rPr>
        <w:t xml:space="preserve">Omdat in de communieviering een bijzondere nadruk ligt op het luisteren naar het woord van God, wordt in deze vieringen zoveel mogelijk ook de tweede lezing uit de heilige Schrift gelezen. Een moeilijke lezing zou door een korte inleiding toegelicht kunnen worden. deze lezing wordt op dezelfde wijze besloten als de eerste lezing. </w:t>
      </w:r>
    </w:p>
    <w:p w:rsidR="00B57F15" w:rsidRDefault="00B57F15" w:rsidP="00B57F15">
      <w:pPr>
        <w:tabs>
          <w:tab w:val="left" w:pos="567"/>
        </w:tabs>
        <w:rPr>
          <w:rFonts w:ascii="Times New Roman" w:hAnsi="Times New Roman" w:cs="Times New Roman"/>
          <w:i/>
          <w:sz w:val="24"/>
          <w:szCs w:val="24"/>
        </w:rPr>
      </w:pPr>
    </w:p>
    <w:p w:rsidR="00B57F15" w:rsidRPr="00D57689" w:rsidRDefault="00B57F15" w:rsidP="00B57F15">
      <w:pPr>
        <w:pStyle w:val="Lijstalinea"/>
        <w:numPr>
          <w:ilvl w:val="0"/>
          <w:numId w:val="2"/>
        </w:numPr>
        <w:tabs>
          <w:tab w:val="left" w:pos="567"/>
        </w:tabs>
        <w:rPr>
          <w:rFonts w:ascii="Times New Roman" w:hAnsi="Times New Roman" w:cs="Times New Roman"/>
          <w:sz w:val="24"/>
          <w:szCs w:val="24"/>
        </w:rPr>
      </w:pPr>
      <w:r>
        <w:rPr>
          <w:rFonts w:ascii="Times New Roman" w:hAnsi="Times New Roman" w:cs="Times New Roman"/>
          <w:b/>
          <w:sz w:val="24"/>
          <w:szCs w:val="24"/>
        </w:rPr>
        <w:t>Alleluia / Vers van het evangelie</w:t>
      </w:r>
    </w:p>
    <w:p w:rsidR="00B57F15" w:rsidRDefault="00B57F15" w:rsidP="00B57F15">
      <w:pPr>
        <w:tabs>
          <w:tab w:val="left" w:pos="567"/>
        </w:tabs>
        <w:rPr>
          <w:rFonts w:ascii="Times New Roman" w:hAnsi="Times New Roman" w:cs="Times New Roman"/>
          <w:i/>
          <w:sz w:val="24"/>
          <w:szCs w:val="24"/>
        </w:rPr>
      </w:pPr>
    </w:p>
    <w:p w:rsidR="00B57F15" w:rsidRDefault="00B57F15" w:rsidP="00B57F15">
      <w:pPr>
        <w:tabs>
          <w:tab w:val="left" w:pos="567"/>
        </w:tabs>
        <w:rPr>
          <w:rFonts w:ascii="Times New Roman" w:hAnsi="Times New Roman" w:cs="Times New Roman"/>
          <w:i/>
          <w:sz w:val="24"/>
          <w:szCs w:val="24"/>
        </w:rPr>
      </w:pPr>
      <w:r>
        <w:rPr>
          <w:rFonts w:ascii="Times New Roman" w:hAnsi="Times New Roman" w:cs="Times New Roman"/>
          <w:i/>
          <w:sz w:val="24"/>
          <w:szCs w:val="24"/>
        </w:rPr>
        <w:t xml:space="preserve">Het alleluia is de inleiding op het evangelie. De gelovigen nemen daar staande aan deel door het zingen van het alleluia-refrein, terwijl de cantor of het koor het vers zingt. Ook kan het koor het gregoriaanse alleluia zingen, waarbij de gelovigen aan het slot het alleluia herhalen. Tijdens het zingen van het alleluia gaat degene die het evangelie leest zonder enige plechtigheid naar de ambo. </w:t>
      </w:r>
    </w:p>
    <w:p w:rsidR="00B57F15" w:rsidRDefault="00B57F15" w:rsidP="00B57F15">
      <w:pPr>
        <w:tabs>
          <w:tab w:val="left" w:pos="567"/>
        </w:tabs>
        <w:rPr>
          <w:rFonts w:ascii="Times New Roman" w:hAnsi="Times New Roman" w:cs="Times New Roman"/>
          <w:i/>
          <w:sz w:val="24"/>
          <w:szCs w:val="24"/>
        </w:rPr>
      </w:pPr>
    </w:p>
    <w:p w:rsidR="00B57F15" w:rsidRDefault="00B57F15" w:rsidP="00B57F15">
      <w:pPr>
        <w:pStyle w:val="Lijstalinea"/>
        <w:numPr>
          <w:ilvl w:val="0"/>
          <w:numId w:val="2"/>
        </w:numPr>
        <w:tabs>
          <w:tab w:val="left" w:pos="567"/>
        </w:tabs>
        <w:rPr>
          <w:rFonts w:ascii="Times New Roman" w:hAnsi="Times New Roman" w:cs="Times New Roman"/>
          <w:sz w:val="24"/>
          <w:szCs w:val="24"/>
        </w:rPr>
      </w:pPr>
      <w:r>
        <w:rPr>
          <w:rFonts w:ascii="Times New Roman" w:hAnsi="Times New Roman" w:cs="Times New Roman"/>
          <w:b/>
          <w:sz w:val="24"/>
          <w:szCs w:val="24"/>
        </w:rPr>
        <w:t xml:space="preserve">Evangelie </w:t>
      </w:r>
    </w:p>
    <w:p w:rsidR="00B57F15" w:rsidRDefault="00B57F15" w:rsidP="00B57F15">
      <w:pPr>
        <w:tabs>
          <w:tab w:val="left" w:pos="567"/>
        </w:tabs>
        <w:rPr>
          <w:rFonts w:ascii="Times New Roman" w:hAnsi="Times New Roman" w:cs="Times New Roman"/>
          <w:sz w:val="24"/>
          <w:szCs w:val="24"/>
        </w:rPr>
      </w:pPr>
    </w:p>
    <w:p w:rsidR="00B57F15" w:rsidRDefault="00B57F15" w:rsidP="00B57F15">
      <w:pPr>
        <w:tabs>
          <w:tab w:val="left" w:pos="567"/>
        </w:tabs>
        <w:rPr>
          <w:rFonts w:ascii="Times New Roman" w:hAnsi="Times New Roman" w:cs="Times New Roman"/>
          <w:i/>
          <w:sz w:val="24"/>
          <w:szCs w:val="24"/>
        </w:rPr>
      </w:pPr>
      <w:r>
        <w:rPr>
          <w:rFonts w:ascii="Times New Roman" w:hAnsi="Times New Roman" w:cs="Times New Roman"/>
          <w:i/>
          <w:sz w:val="24"/>
          <w:szCs w:val="24"/>
        </w:rPr>
        <w:t xml:space="preserve">Tijdens de lezing uit het evangelie staan alle gelovigen uit eerbied voor Christus, die in dit woord tegenwoordig is. Een assistent of degene die de viering leidt, leest het evangelie. De evangelielezing wordt ingeleid met de woorden: </w:t>
      </w:r>
      <w:r>
        <w:rPr>
          <w:rFonts w:ascii="Times New Roman" w:hAnsi="Times New Roman" w:cs="Times New Roman"/>
          <w:sz w:val="24"/>
          <w:szCs w:val="24"/>
        </w:rPr>
        <w:t xml:space="preserve">Broeders en zusters, luisteren wij naar de woorden uit het heilig evangelie volgens … </w:t>
      </w:r>
      <w:r>
        <w:rPr>
          <w:rFonts w:ascii="Times New Roman" w:hAnsi="Times New Roman" w:cs="Times New Roman"/>
          <w:i/>
          <w:sz w:val="24"/>
          <w:szCs w:val="24"/>
        </w:rPr>
        <w:t xml:space="preserve">Een diaken leest het evangelie op de gebruikelijke manier en bidt vooraf, gebogen voor het altaar, het gebed om Gods zegen. </w:t>
      </w:r>
    </w:p>
    <w:p w:rsidR="00B57F15" w:rsidRDefault="00B57F15" w:rsidP="00B57F15">
      <w:pPr>
        <w:tabs>
          <w:tab w:val="left" w:pos="567"/>
        </w:tabs>
        <w:rPr>
          <w:rFonts w:ascii="Times New Roman" w:hAnsi="Times New Roman" w:cs="Times New Roman"/>
          <w:i/>
          <w:sz w:val="24"/>
          <w:szCs w:val="24"/>
        </w:rPr>
      </w:pPr>
      <w:r>
        <w:rPr>
          <w:rFonts w:ascii="Times New Roman" w:hAnsi="Times New Roman" w:cs="Times New Roman"/>
          <w:i/>
          <w:sz w:val="24"/>
          <w:szCs w:val="24"/>
        </w:rPr>
        <w:t xml:space="preserve">Na het evangelie toont degene die het evangelie gelezen heeft, het evangelieboek terwijl allen de acclamatie zingen. </w:t>
      </w:r>
    </w:p>
    <w:p w:rsidR="00B57F15" w:rsidRDefault="00B57F15" w:rsidP="00B57F15">
      <w:pPr>
        <w:tabs>
          <w:tab w:val="left" w:pos="567"/>
        </w:tabs>
        <w:rPr>
          <w:rFonts w:ascii="Times New Roman" w:hAnsi="Times New Roman" w:cs="Times New Roman"/>
          <w:i/>
          <w:sz w:val="24"/>
          <w:szCs w:val="24"/>
        </w:rPr>
      </w:pPr>
    </w:p>
    <w:p w:rsidR="00B57F15" w:rsidRDefault="00B57F15" w:rsidP="00B57F15">
      <w:pPr>
        <w:pStyle w:val="Lijstalinea"/>
        <w:numPr>
          <w:ilvl w:val="0"/>
          <w:numId w:val="2"/>
        </w:numPr>
        <w:tabs>
          <w:tab w:val="left" w:pos="567"/>
        </w:tabs>
        <w:rPr>
          <w:rFonts w:ascii="Times New Roman" w:hAnsi="Times New Roman" w:cs="Times New Roman"/>
          <w:sz w:val="24"/>
          <w:szCs w:val="24"/>
        </w:rPr>
      </w:pPr>
      <w:r>
        <w:rPr>
          <w:rFonts w:ascii="Times New Roman" w:hAnsi="Times New Roman" w:cs="Times New Roman"/>
          <w:b/>
          <w:sz w:val="24"/>
          <w:szCs w:val="24"/>
        </w:rPr>
        <w:t>Overweging</w:t>
      </w:r>
    </w:p>
    <w:p w:rsidR="00B57F15" w:rsidRDefault="00B57F15" w:rsidP="00B57F15">
      <w:pPr>
        <w:tabs>
          <w:tab w:val="left" w:pos="567"/>
        </w:tabs>
        <w:rPr>
          <w:rFonts w:ascii="Times New Roman" w:hAnsi="Times New Roman" w:cs="Times New Roman"/>
          <w:sz w:val="24"/>
          <w:szCs w:val="24"/>
        </w:rPr>
      </w:pPr>
    </w:p>
    <w:p w:rsidR="00B57F15" w:rsidRDefault="00B57F15" w:rsidP="00B57F15">
      <w:pPr>
        <w:tabs>
          <w:tab w:val="left" w:pos="567"/>
        </w:tabs>
        <w:rPr>
          <w:rFonts w:ascii="Times New Roman" w:hAnsi="Times New Roman" w:cs="Times New Roman"/>
          <w:i/>
          <w:sz w:val="24"/>
          <w:szCs w:val="24"/>
        </w:rPr>
      </w:pPr>
      <w:r>
        <w:rPr>
          <w:rFonts w:ascii="Times New Roman" w:hAnsi="Times New Roman" w:cs="Times New Roman"/>
          <w:i/>
          <w:sz w:val="24"/>
          <w:szCs w:val="24"/>
        </w:rPr>
        <w:t xml:space="preserve">De overweging wordt bij voorkeur gehouden door degene die de viering leidt. De bedoeling van de overweging is een of meer van de gelezen schriftlezingen uit te leggen of te verduidelijken als een oproep tot geloof en een bemoediging in het geloof of de christelijke geloofsgeheimen te verhelderen of op te roepen tot een leven als christen. Voorbereiding in groepsverband zal in vele gevallen aanbevelenswaardig zijn. Soms zal men de levendige verkondiging vervangen door het voorlezen van een geschreven tekst die een goede toelichting geeft op de schriftlezingen; dit kan bijvoorbeeld een bestaande preek zijn. </w:t>
      </w:r>
    </w:p>
    <w:p w:rsidR="00B57F15" w:rsidRDefault="00B57F15" w:rsidP="00B57F15">
      <w:pPr>
        <w:tabs>
          <w:tab w:val="left" w:pos="567"/>
        </w:tabs>
        <w:rPr>
          <w:rFonts w:ascii="Times New Roman" w:hAnsi="Times New Roman" w:cs="Times New Roman"/>
          <w:i/>
          <w:sz w:val="24"/>
          <w:szCs w:val="24"/>
        </w:rPr>
      </w:pPr>
    </w:p>
    <w:p w:rsidR="00B57F15" w:rsidRDefault="00B57F15" w:rsidP="00B57F15">
      <w:pPr>
        <w:pStyle w:val="Lijstalinea"/>
        <w:numPr>
          <w:ilvl w:val="0"/>
          <w:numId w:val="2"/>
        </w:numPr>
        <w:tabs>
          <w:tab w:val="left" w:pos="567"/>
        </w:tabs>
        <w:rPr>
          <w:rFonts w:ascii="Times New Roman" w:hAnsi="Times New Roman" w:cs="Times New Roman"/>
          <w:sz w:val="24"/>
          <w:szCs w:val="24"/>
        </w:rPr>
      </w:pPr>
      <w:r>
        <w:rPr>
          <w:rFonts w:ascii="Times New Roman" w:hAnsi="Times New Roman" w:cs="Times New Roman"/>
          <w:b/>
          <w:sz w:val="24"/>
          <w:szCs w:val="24"/>
        </w:rPr>
        <w:t>Evangelielied of lied naar het evangelie</w:t>
      </w:r>
    </w:p>
    <w:p w:rsidR="00B57F15" w:rsidRDefault="00B57F15" w:rsidP="00B57F15">
      <w:pPr>
        <w:tabs>
          <w:tab w:val="left" w:pos="567"/>
        </w:tabs>
        <w:rPr>
          <w:rFonts w:ascii="Times New Roman" w:hAnsi="Times New Roman" w:cs="Times New Roman"/>
          <w:sz w:val="24"/>
          <w:szCs w:val="24"/>
        </w:rPr>
      </w:pPr>
    </w:p>
    <w:p w:rsidR="00B57F15" w:rsidRPr="00F90BFD" w:rsidRDefault="00B57F15" w:rsidP="00B57F15">
      <w:pPr>
        <w:tabs>
          <w:tab w:val="left" w:pos="567"/>
        </w:tabs>
        <w:rPr>
          <w:rFonts w:ascii="Times New Roman" w:hAnsi="Times New Roman" w:cs="Times New Roman"/>
          <w:i/>
          <w:sz w:val="24"/>
          <w:szCs w:val="24"/>
        </w:rPr>
      </w:pPr>
      <w:r>
        <w:rPr>
          <w:rFonts w:ascii="Times New Roman" w:hAnsi="Times New Roman" w:cs="Times New Roman"/>
          <w:i/>
          <w:sz w:val="24"/>
          <w:szCs w:val="24"/>
        </w:rPr>
        <w:t xml:space="preserve">Eventueel kan met de overweging of de verkondiging van Gods woord besluiten met een zogenaamd evangelielied, waarin de tekst van het evangelie mediterend hernomen wordt. Dit lied vervangt de geloofsbelijdenis, die nauw verbonden is met de </w:t>
      </w:r>
      <w:r w:rsidRPr="00F90BFD">
        <w:rPr>
          <w:rFonts w:ascii="Times New Roman" w:hAnsi="Times New Roman" w:cs="Times New Roman"/>
          <w:i/>
          <w:sz w:val="24"/>
          <w:szCs w:val="24"/>
        </w:rPr>
        <w:t>eucharistieviering</w:t>
      </w:r>
    </w:p>
    <w:p w:rsidR="00B57F15" w:rsidRDefault="00B57F15" w:rsidP="00B57F15">
      <w:pPr>
        <w:tabs>
          <w:tab w:val="left" w:pos="567"/>
        </w:tabs>
        <w:rPr>
          <w:rFonts w:ascii="Times New Roman" w:hAnsi="Times New Roman" w:cs="Times New Roman"/>
          <w:sz w:val="24"/>
          <w:szCs w:val="24"/>
        </w:rPr>
      </w:pPr>
    </w:p>
    <w:p w:rsidR="00B57F15" w:rsidRDefault="00B57F15" w:rsidP="00B57F15">
      <w:pPr>
        <w:pStyle w:val="Lijstalinea"/>
        <w:numPr>
          <w:ilvl w:val="0"/>
          <w:numId w:val="2"/>
        </w:numPr>
        <w:tabs>
          <w:tab w:val="left" w:pos="567"/>
        </w:tabs>
        <w:rPr>
          <w:rFonts w:ascii="Times New Roman" w:hAnsi="Times New Roman" w:cs="Times New Roman"/>
          <w:sz w:val="24"/>
          <w:szCs w:val="24"/>
        </w:rPr>
      </w:pPr>
      <w:r>
        <w:rPr>
          <w:rFonts w:ascii="Times New Roman" w:hAnsi="Times New Roman" w:cs="Times New Roman"/>
          <w:b/>
          <w:sz w:val="24"/>
          <w:szCs w:val="24"/>
        </w:rPr>
        <w:t>Voorbede</w:t>
      </w:r>
    </w:p>
    <w:p w:rsidR="00B57F15" w:rsidRDefault="00B57F15" w:rsidP="00B57F15">
      <w:pPr>
        <w:tabs>
          <w:tab w:val="left" w:pos="567"/>
        </w:tabs>
        <w:rPr>
          <w:rFonts w:ascii="Times New Roman" w:hAnsi="Times New Roman" w:cs="Times New Roman"/>
          <w:sz w:val="24"/>
          <w:szCs w:val="24"/>
        </w:rPr>
      </w:pPr>
    </w:p>
    <w:p w:rsidR="00B57F15" w:rsidRDefault="00B57F15" w:rsidP="00B57F15">
      <w:pPr>
        <w:tabs>
          <w:tab w:val="left" w:pos="567"/>
        </w:tabs>
        <w:rPr>
          <w:rFonts w:ascii="Times New Roman" w:hAnsi="Times New Roman" w:cs="Times New Roman"/>
          <w:i/>
          <w:sz w:val="24"/>
          <w:szCs w:val="24"/>
        </w:rPr>
      </w:pPr>
      <w:r>
        <w:rPr>
          <w:rFonts w:ascii="Times New Roman" w:hAnsi="Times New Roman" w:cs="Times New Roman"/>
          <w:i/>
          <w:sz w:val="24"/>
          <w:szCs w:val="24"/>
        </w:rPr>
        <w:t xml:space="preserve">De voorbede besluit de viering van het woord. Bemoedigd door Gods woord doen wij een beroep op God om onze eigen noden en die van de wereld aan Hem voor te leggen. De voorbede vindt plaats op de gebruikelijke manier. Degene die de viering leidt, spreekt de uitnodiging uit en het afsluitend gebed. De intenties worden gezegd door een lector, terwijl de gelovigen hun gebed in een gezongen acclamatie tot uitdrukking brengen. </w:t>
      </w:r>
    </w:p>
    <w:p w:rsidR="00B57F15" w:rsidRDefault="00B57F15" w:rsidP="00B57F15">
      <w:pPr>
        <w:tabs>
          <w:tab w:val="left" w:pos="567"/>
        </w:tabs>
        <w:rPr>
          <w:rFonts w:ascii="Times New Roman" w:hAnsi="Times New Roman" w:cs="Times New Roman"/>
          <w:i/>
          <w:sz w:val="24"/>
          <w:szCs w:val="24"/>
        </w:rPr>
      </w:pPr>
    </w:p>
    <w:p w:rsidR="00B57F15" w:rsidRDefault="00B57F15" w:rsidP="00B57F15">
      <w:pPr>
        <w:tabs>
          <w:tab w:val="left" w:pos="567"/>
        </w:tabs>
        <w:rPr>
          <w:rFonts w:ascii="Times New Roman" w:hAnsi="Times New Roman" w:cs="Times New Roman"/>
          <w:sz w:val="28"/>
          <w:szCs w:val="28"/>
        </w:rPr>
      </w:pPr>
      <w:r>
        <w:rPr>
          <w:rFonts w:ascii="Times New Roman" w:hAnsi="Times New Roman" w:cs="Times New Roman"/>
          <w:i/>
          <w:sz w:val="28"/>
          <w:szCs w:val="28"/>
        </w:rPr>
        <w:t>Viering van de communie</w:t>
      </w:r>
    </w:p>
    <w:p w:rsidR="00B57F15" w:rsidRDefault="00B57F15" w:rsidP="00B57F15">
      <w:pPr>
        <w:tabs>
          <w:tab w:val="left" w:pos="567"/>
        </w:tabs>
        <w:rPr>
          <w:rFonts w:ascii="Times New Roman" w:hAnsi="Times New Roman" w:cs="Times New Roman"/>
          <w:sz w:val="28"/>
          <w:szCs w:val="28"/>
        </w:rPr>
      </w:pPr>
    </w:p>
    <w:p w:rsidR="00B57F15" w:rsidRDefault="00B57F15" w:rsidP="00B57F15">
      <w:pPr>
        <w:tabs>
          <w:tab w:val="left" w:pos="567"/>
        </w:tabs>
        <w:rPr>
          <w:rFonts w:ascii="Times New Roman" w:hAnsi="Times New Roman" w:cs="Times New Roman"/>
          <w:i/>
          <w:sz w:val="24"/>
          <w:szCs w:val="24"/>
        </w:rPr>
      </w:pPr>
      <w:r>
        <w:rPr>
          <w:rFonts w:ascii="Times New Roman" w:hAnsi="Times New Roman" w:cs="Times New Roman"/>
          <w:i/>
          <w:sz w:val="24"/>
          <w:szCs w:val="24"/>
        </w:rPr>
        <w:lastRenderedPageBreak/>
        <w:t xml:space="preserve">Het klaarmaken van de gaven voorafgegaan door de offerandeprocessie, waarin samen met brood en wijn onze gaven in de collecte aangeboden worden, is een van de kernhandelingen van de </w:t>
      </w:r>
      <w:r w:rsidRPr="00F90BFD">
        <w:rPr>
          <w:rFonts w:ascii="Times New Roman" w:hAnsi="Times New Roman" w:cs="Times New Roman"/>
          <w:i/>
          <w:sz w:val="24"/>
          <w:szCs w:val="24"/>
        </w:rPr>
        <w:t>eucharistieviering</w:t>
      </w:r>
      <w:r>
        <w:rPr>
          <w:rFonts w:ascii="Times New Roman" w:hAnsi="Times New Roman" w:cs="Times New Roman"/>
          <w:i/>
          <w:sz w:val="24"/>
          <w:szCs w:val="24"/>
        </w:rPr>
        <w:t xml:space="preserve">. In de </w:t>
      </w:r>
      <w:r w:rsidRPr="00F90BFD">
        <w:rPr>
          <w:rFonts w:ascii="Times New Roman" w:hAnsi="Times New Roman" w:cs="Times New Roman"/>
          <w:i/>
          <w:sz w:val="24"/>
          <w:szCs w:val="24"/>
        </w:rPr>
        <w:t>eucharistieviering</w:t>
      </w:r>
      <w:r>
        <w:rPr>
          <w:rFonts w:ascii="Times New Roman" w:hAnsi="Times New Roman" w:cs="Times New Roman"/>
          <w:i/>
          <w:sz w:val="24"/>
          <w:szCs w:val="24"/>
        </w:rPr>
        <w:t xml:space="preserve"> worden onze gaven genomen, zodat zij tijdens het eucharistisch gebed geheiligd worden en wij ze terugontvangen als gaven van de Heer zelf. In de communieviering is de beweging andersom: wij ontvangen eerst de gaven van de Heer en uit dankbaarheid geven wij daarna onze gaven in de collecte. In aansluiting op deze beweging krijgt zij daarom een plaats na het communie uitreiken. </w:t>
      </w:r>
    </w:p>
    <w:p w:rsidR="00B57F15" w:rsidRDefault="00B57F15" w:rsidP="00B57F15">
      <w:pPr>
        <w:tabs>
          <w:tab w:val="left" w:pos="567"/>
        </w:tabs>
        <w:rPr>
          <w:rFonts w:ascii="Times New Roman" w:hAnsi="Times New Roman" w:cs="Times New Roman"/>
          <w:i/>
          <w:sz w:val="24"/>
          <w:szCs w:val="24"/>
        </w:rPr>
      </w:pPr>
    </w:p>
    <w:p w:rsidR="00B57F15" w:rsidRPr="00F90BFD" w:rsidRDefault="00B57F15" w:rsidP="00B57F15">
      <w:pPr>
        <w:pStyle w:val="Lijstalinea"/>
        <w:numPr>
          <w:ilvl w:val="0"/>
          <w:numId w:val="2"/>
        </w:numPr>
        <w:tabs>
          <w:tab w:val="left" w:pos="567"/>
        </w:tabs>
        <w:rPr>
          <w:rFonts w:ascii="Times New Roman" w:hAnsi="Times New Roman" w:cs="Times New Roman"/>
          <w:i/>
          <w:sz w:val="24"/>
          <w:szCs w:val="24"/>
        </w:rPr>
      </w:pPr>
      <w:r>
        <w:rPr>
          <w:rFonts w:ascii="Times New Roman" w:hAnsi="Times New Roman" w:cs="Times New Roman"/>
          <w:b/>
          <w:sz w:val="24"/>
          <w:szCs w:val="24"/>
        </w:rPr>
        <w:t>Vredeswens</w:t>
      </w:r>
    </w:p>
    <w:p w:rsidR="00B57F15" w:rsidRDefault="00B57F15" w:rsidP="00B57F15">
      <w:pPr>
        <w:tabs>
          <w:tab w:val="left" w:pos="567"/>
        </w:tabs>
        <w:rPr>
          <w:rFonts w:ascii="Times New Roman" w:hAnsi="Times New Roman" w:cs="Times New Roman"/>
          <w:i/>
          <w:sz w:val="24"/>
          <w:szCs w:val="24"/>
        </w:rPr>
      </w:pPr>
    </w:p>
    <w:p w:rsidR="00B57F15" w:rsidRDefault="00B57F15" w:rsidP="00B57F15">
      <w:pPr>
        <w:tabs>
          <w:tab w:val="left" w:pos="567"/>
        </w:tabs>
        <w:rPr>
          <w:rFonts w:ascii="Times New Roman" w:hAnsi="Times New Roman" w:cs="Times New Roman"/>
          <w:sz w:val="24"/>
          <w:szCs w:val="24"/>
        </w:rPr>
      </w:pPr>
      <w:r>
        <w:rPr>
          <w:rFonts w:ascii="Times New Roman" w:hAnsi="Times New Roman" w:cs="Times New Roman"/>
          <w:i/>
          <w:sz w:val="24"/>
          <w:szCs w:val="24"/>
        </w:rPr>
        <w:t xml:space="preserve">De viering van de communie begint met de vredeswens. Door het instemmend luisteren naar Gods woord, zijn allen met elkaar verbonden. Deze verbondenheid wordt tot uitdrukking gebracht door het uitwisselen van de vrede van Christus naar elkaar, zodat men daadwerkelijk als broeders en zusters deelneemt aan de heilige communie. De vredeswens wordt ingeleid met een kort gebed. Tijdens dit gebed staan allen. Het gebed wordt besloten met de uitnodiging elkaar de vrede toe te wensen. Zie hiervoor de teksten naar keuze. De vredeswens wordt begeleid en/of afgerond met het zingen van een zogenaamd </w:t>
      </w:r>
      <w:r>
        <w:rPr>
          <w:rFonts w:ascii="Times New Roman" w:hAnsi="Times New Roman" w:cs="Times New Roman"/>
          <w:sz w:val="24"/>
          <w:szCs w:val="24"/>
        </w:rPr>
        <w:t xml:space="preserve">vredeslied. </w:t>
      </w:r>
    </w:p>
    <w:p w:rsidR="00B57F15" w:rsidRDefault="00B57F15" w:rsidP="00B57F15">
      <w:pPr>
        <w:tabs>
          <w:tab w:val="left" w:pos="567"/>
        </w:tabs>
        <w:rPr>
          <w:rFonts w:ascii="Times New Roman" w:hAnsi="Times New Roman" w:cs="Times New Roman"/>
          <w:sz w:val="24"/>
          <w:szCs w:val="24"/>
        </w:rPr>
      </w:pPr>
    </w:p>
    <w:p w:rsidR="00B57F15" w:rsidRPr="00F90BFD" w:rsidRDefault="00B57F15" w:rsidP="00B57F15">
      <w:pPr>
        <w:pStyle w:val="Lijstalinea"/>
        <w:numPr>
          <w:ilvl w:val="0"/>
          <w:numId w:val="2"/>
        </w:numPr>
        <w:tabs>
          <w:tab w:val="left" w:pos="567"/>
        </w:tabs>
        <w:rPr>
          <w:rFonts w:ascii="Times New Roman" w:hAnsi="Times New Roman" w:cs="Times New Roman"/>
          <w:b/>
          <w:sz w:val="24"/>
          <w:szCs w:val="24"/>
        </w:rPr>
      </w:pPr>
      <w:r>
        <w:rPr>
          <w:rFonts w:ascii="Times New Roman" w:hAnsi="Times New Roman" w:cs="Times New Roman"/>
          <w:b/>
          <w:sz w:val="24"/>
          <w:szCs w:val="24"/>
        </w:rPr>
        <w:t xml:space="preserve">Overbrengen van de eucharistische gaven naar het altaar. </w:t>
      </w:r>
    </w:p>
    <w:p w:rsidR="00B57F15" w:rsidRDefault="00B57F15" w:rsidP="00B57F15">
      <w:pPr>
        <w:tabs>
          <w:tab w:val="left" w:pos="567"/>
        </w:tabs>
        <w:rPr>
          <w:rFonts w:ascii="Times New Roman" w:hAnsi="Times New Roman" w:cs="Times New Roman"/>
          <w:b/>
          <w:sz w:val="24"/>
          <w:szCs w:val="24"/>
        </w:rPr>
      </w:pPr>
    </w:p>
    <w:p w:rsidR="00B57F15" w:rsidRDefault="00B57F15" w:rsidP="00B57F15">
      <w:pPr>
        <w:tabs>
          <w:tab w:val="left" w:pos="567"/>
        </w:tabs>
        <w:rPr>
          <w:rFonts w:ascii="Times New Roman" w:hAnsi="Times New Roman" w:cs="Times New Roman"/>
          <w:i/>
          <w:sz w:val="24"/>
          <w:szCs w:val="24"/>
        </w:rPr>
      </w:pPr>
      <w:r>
        <w:rPr>
          <w:rFonts w:ascii="Times New Roman" w:hAnsi="Times New Roman" w:cs="Times New Roman"/>
          <w:i/>
          <w:sz w:val="24"/>
          <w:szCs w:val="24"/>
        </w:rPr>
        <w:t xml:space="preserve">Degene die de viering leidt, gaat met de misdienaars die brandende kaarsen meedragen – wanneer deze niet bij het tabernakel gereed staan – naar het tabernakel om de ciborie met geconsacreerde hosties te halen. In een kleine processie worden deze eucharistische gaven naar het altaar gebracht en op het corporale geplaatst. De misdienaars plaatsen hun kandelaars bij of op het altaar. </w:t>
      </w:r>
    </w:p>
    <w:p w:rsidR="00B57F15" w:rsidRDefault="00B57F15" w:rsidP="00B57F15">
      <w:pPr>
        <w:tabs>
          <w:tab w:val="left" w:pos="567"/>
        </w:tabs>
        <w:rPr>
          <w:rFonts w:ascii="Times New Roman" w:hAnsi="Times New Roman" w:cs="Times New Roman"/>
          <w:sz w:val="24"/>
          <w:szCs w:val="24"/>
        </w:rPr>
      </w:pPr>
      <w:r>
        <w:rPr>
          <w:rFonts w:ascii="Times New Roman" w:hAnsi="Times New Roman" w:cs="Times New Roman"/>
          <w:i/>
          <w:sz w:val="24"/>
          <w:szCs w:val="24"/>
        </w:rPr>
        <w:lastRenderedPageBreak/>
        <w:t xml:space="preserve">In de processie kunnen – als de omstandigheden dit toelaten en het wenselijk is – ook kinderen vanuit de kerk betrokken worden, die eventueel met een brandende kaars meelopen. Tijdens de processie wordt een lied gezongen ter </w:t>
      </w:r>
      <w:proofErr w:type="spellStart"/>
      <w:r>
        <w:rPr>
          <w:rFonts w:ascii="Times New Roman" w:hAnsi="Times New Roman" w:cs="Times New Roman"/>
          <w:i/>
          <w:sz w:val="24"/>
          <w:szCs w:val="24"/>
        </w:rPr>
        <w:t>ere</w:t>
      </w:r>
      <w:proofErr w:type="spellEnd"/>
      <w:r>
        <w:rPr>
          <w:rFonts w:ascii="Times New Roman" w:hAnsi="Times New Roman" w:cs="Times New Roman"/>
          <w:i/>
          <w:sz w:val="24"/>
          <w:szCs w:val="24"/>
        </w:rPr>
        <w:t xml:space="preserve"> van de eucharistie, waarbij de gelovigen staan. Bij de keuze van dit lied zal men aandacht geven het eigen karakter van de viering en daarom vanwege de waarachtigheid van deze liturgische expressie geen lied kiezen dat aspecten verwoord die betrekking hebben op de kernhandelingen van de eucharistieviering. Omdat in de </w:t>
      </w:r>
      <w:r w:rsidRPr="00F154E7">
        <w:rPr>
          <w:rFonts w:ascii="Times New Roman" w:hAnsi="Times New Roman" w:cs="Times New Roman"/>
          <w:i/>
          <w:sz w:val="24"/>
          <w:szCs w:val="24"/>
        </w:rPr>
        <w:t>communieviering</w:t>
      </w:r>
      <w:r>
        <w:rPr>
          <w:rFonts w:ascii="Times New Roman" w:hAnsi="Times New Roman" w:cs="Times New Roman"/>
          <w:i/>
          <w:sz w:val="24"/>
          <w:szCs w:val="24"/>
        </w:rPr>
        <w:t xml:space="preserve"> alleen sprake is van de communie onder </w:t>
      </w:r>
      <w:proofErr w:type="spellStart"/>
      <w:r>
        <w:rPr>
          <w:rFonts w:ascii="Times New Roman" w:hAnsi="Times New Roman" w:cs="Times New Roman"/>
          <w:i/>
          <w:sz w:val="24"/>
          <w:szCs w:val="24"/>
        </w:rPr>
        <w:t>broodsgedaante</w:t>
      </w:r>
      <w:proofErr w:type="spellEnd"/>
      <w:r>
        <w:rPr>
          <w:rFonts w:ascii="Times New Roman" w:hAnsi="Times New Roman" w:cs="Times New Roman"/>
          <w:i/>
          <w:sz w:val="24"/>
          <w:szCs w:val="24"/>
        </w:rPr>
        <w:t xml:space="preserve">, zal ook elke verwijzing naar de wijn achterwege blijven. Zo zal men bijvoorbeeld het lied </w:t>
      </w:r>
      <w:r>
        <w:rPr>
          <w:rFonts w:ascii="Times New Roman" w:hAnsi="Times New Roman" w:cs="Times New Roman"/>
          <w:sz w:val="24"/>
          <w:szCs w:val="24"/>
        </w:rPr>
        <w:t>Het lied van het brood ten leven (</w:t>
      </w:r>
      <w:r>
        <w:rPr>
          <w:rFonts w:ascii="Times New Roman" w:hAnsi="Times New Roman" w:cs="Times New Roman"/>
          <w:i/>
          <w:sz w:val="24"/>
          <w:szCs w:val="24"/>
        </w:rPr>
        <w:t xml:space="preserve">vgl. </w:t>
      </w:r>
      <w:proofErr w:type="spellStart"/>
      <w:r>
        <w:rPr>
          <w:rFonts w:ascii="Times New Roman" w:hAnsi="Times New Roman" w:cs="Times New Roman"/>
          <w:i/>
          <w:sz w:val="24"/>
          <w:szCs w:val="24"/>
        </w:rPr>
        <w:t>GvL</w:t>
      </w:r>
      <w:proofErr w:type="spellEnd"/>
      <w:r>
        <w:rPr>
          <w:rFonts w:ascii="Times New Roman" w:hAnsi="Times New Roman" w:cs="Times New Roman"/>
          <w:i/>
          <w:sz w:val="24"/>
          <w:szCs w:val="24"/>
        </w:rPr>
        <w:t xml:space="preserve"> nr. 502) niet kiezen ofwel couplet 3 achterwege laten. </w:t>
      </w:r>
    </w:p>
    <w:p w:rsidR="00B57F15" w:rsidRDefault="00B57F15" w:rsidP="00B57F15">
      <w:pPr>
        <w:tabs>
          <w:tab w:val="left" w:pos="567"/>
        </w:tabs>
        <w:rPr>
          <w:rFonts w:ascii="Times New Roman" w:hAnsi="Times New Roman" w:cs="Times New Roman"/>
          <w:sz w:val="24"/>
          <w:szCs w:val="24"/>
        </w:rPr>
      </w:pPr>
    </w:p>
    <w:p w:rsidR="00B57F15" w:rsidRPr="00F154E7" w:rsidRDefault="00B57F15" w:rsidP="00B57F15">
      <w:pPr>
        <w:pStyle w:val="Lijstalinea"/>
        <w:numPr>
          <w:ilvl w:val="0"/>
          <w:numId w:val="2"/>
        </w:numPr>
        <w:tabs>
          <w:tab w:val="left" w:pos="567"/>
        </w:tabs>
        <w:rPr>
          <w:rFonts w:ascii="Times New Roman" w:hAnsi="Times New Roman" w:cs="Times New Roman"/>
          <w:b/>
          <w:sz w:val="24"/>
          <w:szCs w:val="24"/>
        </w:rPr>
      </w:pPr>
      <w:r>
        <w:rPr>
          <w:rFonts w:ascii="Times New Roman" w:hAnsi="Times New Roman" w:cs="Times New Roman"/>
          <w:b/>
          <w:sz w:val="24"/>
          <w:szCs w:val="24"/>
        </w:rPr>
        <w:t>Onze vader</w:t>
      </w:r>
    </w:p>
    <w:p w:rsidR="00B57F15" w:rsidRDefault="00B57F15" w:rsidP="00B57F15">
      <w:pPr>
        <w:tabs>
          <w:tab w:val="left" w:pos="567"/>
        </w:tabs>
        <w:rPr>
          <w:rFonts w:ascii="Times New Roman" w:hAnsi="Times New Roman" w:cs="Times New Roman"/>
          <w:b/>
          <w:sz w:val="24"/>
          <w:szCs w:val="24"/>
        </w:rPr>
      </w:pPr>
    </w:p>
    <w:p w:rsidR="00B57F15" w:rsidRDefault="00B57F15" w:rsidP="00B57F15">
      <w:pPr>
        <w:tabs>
          <w:tab w:val="left" w:pos="567"/>
        </w:tabs>
        <w:rPr>
          <w:rFonts w:ascii="Times New Roman" w:hAnsi="Times New Roman" w:cs="Times New Roman"/>
          <w:sz w:val="24"/>
          <w:szCs w:val="24"/>
        </w:rPr>
      </w:pPr>
      <w:r>
        <w:rPr>
          <w:rFonts w:ascii="Times New Roman" w:hAnsi="Times New Roman" w:cs="Times New Roman"/>
          <w:i/>
          <w:sz w:val="24"/>
          <w:szCs w:val="24"/>
        </w:rPr>
        <w:t xml:space="preserve">Van oudsher wordt voorafgaand aan het ontvangen van de communie het gebed des Heren gebeden vanwege de bede om het dagelijks brood, die hier in geestelijke zin verstaan wordt. Als voorbereiding op het ontvangen van de communie kan volstaan worden met het bidden van het Onze Vader. Dit gebed kan met enkele woorden ingeleid worden, waarbij eventueel verwezen wordt naar de </w:t>
      </w:r>
      <w:r w:rsidRPr="00F154E7">
        <w:rPr>
          <w:rFonts w:ascii="Times New Roman" w:hAnsi="Times New Roman" w:cs="Times New Roman"/>
          <w:i/>
          <w:sz w:val="24"/>
          <w:szCs w:val="24"/>
        </w:rPr>
        <w:t>eucharistieviering</w:t>
      </w:r>
      <w:r>
        <w:rPr>
          <w:rFonts w:ascii="Times New Roman" w:hAnsi="Times New Roman" w:cs="Times New Roman"/>
          <w:i/>
          <w:sz w:val="24"/>
          <w:szCs w:val="24"/>
        </w:rPr>
        <w:t xml:space="preserve"> waarin de hosties geconsacreerd zijn, wanneer dit niet is gebeurd in het inleidend woord aan het begin van de viering. Het gebeden of gezongen Onze Vader wordt besloten met de doxologie </w:t>
      </w:r>
      <w:r>
        <w:rPr>
          <w:rFonts w:ascii="Times New Roman" w:hAnsi="Times New Roman" w:cs="Times New Roman"/>
          <w:sz w:val="24"/>
          <w:szCs w:val="24"/>
        </w:rPr>
        <w:t xml:space="preserve"> Want van U is het koninkrijk … </w:t>
      </w:r>
    </w:p>
    <w:p w:rsidR="00B57F15" w:rsidRDefault="00B57F15" w:rsidP="00B57F15">
      <w:pPr>
        <w:tabs>
          <w:tab w:val="left" w:pos="567"/>
        </w:tabs>
        <w:rPr>
          <w:rFonts w:ascii="Times New Roman" w:hAnsi="Times New Roman" w:cs="Times New Roman"/>
          <w:sz w:val="24"/>
          <w:szCs w:val="24"/>
        </w:rPr>
      </w:pPr>
    </w:p>
    <w:p w:rsidR="00B57F15" w:rsidRPr="00C25BAE" w:rsidRDefault="00B57F15" w:rsidP="00B57F15">
      <w:pPr>
        <w:pStyle w:val="Lijstalinea"/>
        <w:numPr>
          <w:ilvl w:val="0"/>
          <w:numId w:val="2"/>
        </w:numPr>
        <w:tabs>
          <w:tab w:val="left" w:pos="567"/>
        </w:tabs>
        <w:rPr>
          <w:rFonts w:ascii="Times New Roman" w:hAnsi="Times New Roman" w:cs="Times New Roman"/>
          <w:b/>
          <w:sz w:val="24"/>
          <w:szCs w:val="24"/>
        </w:rPr>
      </w:pPr>
      <w:r>
        <w:rPr>
          <w:rFonts w:ascii="Times New Roman" w:hAnsi="Times New Roman" w:cs="Times New Roman"/>
          <w:b/>
          <w:sz w:val="24"/>
          <w:szCs w:val="24"/>
        </w:rPr>
        <w:t>Uitnodiging tot de communie</w:t>
      </w:r>
    </w:p>
    <w:p w:rsidR="00B57F15" w:rsidRDefault="00B57F15" w:rsidP="00B57F15">
      <w:pPr>
        <w:tabs>
          <w:tab w:val="left" w:pos="567"/>
        </w:tabs>
        <w:rPr>
          <w:rFonts w:ascii="Times New Roman" w:hAnsi="Times New Roman" w:cs="Times New Roman"/>
          <w:b/>
          <w:sz w:val="24"/>
          <w:szCs w:val="24"/>
        </w:rPr>
      </w:pPr>
    </w:p>
    <w:p w:rsidR="00B57F15" w:rsidRDefault="00B57F15" w:rsidP="00B57F15">
      <w:pPr>
        <w:tabs>
          <w:tab w:val="left" w:pos="567"/>
        </w:tabs>
        <w:rPr>
          <w:i/>
        </w:rPr>
      </w:pPr>
      <w:r>
        <w:rPr>
          <w:rFonts w:ascii="Times New Roman" w:hAnsi="Times New Roman" w:cs="Times New Roman"/>
          <w:i/>
          <w:sz w:val="24"/>
          <w:szCs w:val="24"/>
        </w:rPr>
        <w:t xml:space="preserve">Direct na het Onze Vader volgt de uitnodiging tot de communie. Daarbij zal men zich beperken tot de gebruikelijke teksten. Degene die de viering leidt, neemt een hostie uit de ciborie en haar tonend zegt deze: </w:t>
      </w:r>
      <w:r>
        <w:rPr>
          <w:rFonts w:ascii="Times New Roman" w:hAnsi="Times New Roman" w:cs="Times New Roman"/>
          <w:sz w:val="24"/>
          <w:szCs w:val="24"/>
        </w:rPr>
        <w:t xml:space="preserve">Zalig zij die genodigd zijn … </w:t>
      </w:r>
      <w:r>
        <w:rPr>
          <w:rFonts w:ascii="Times New Roman" w:hAnsi="Times New Roman" w:cs="Times New Roman"/>
          <w:i/>
          <w:sz w:val="24"/>
          <w:szCs w:val="24"/>
        </w:rPr>
        <w:t xml:space="preserve">Alle gelovigen vervolgen: </w:t>
      </w:r>
      <w:r>
        <w:rPr>
          <w:rFonts w:ascii="Times New Roman" w:hAnsi="Times New Roman" w:cs="Times New Roman"/>
          <w:sz w:val="24"/>
          <w:szCs w:val="24"/>
        </w:rPr>
        <w:t xml:space="preserve">Heer, ik ben niet waardig… </w:t>
      </w:r>
      <w:r>
        <w:rPr>
          <w:rFonts w:ascii="Times New Roman" w:hAnsi="Times New Roman" w:cs="Times New Roman"/>
          <w:i/>
          <w:sz w:val="24"/>
          <w:szCs w:val="24"/>
        </w:rPr>
        <w:t xml:space="preserve">Zie hiervoor de teksten naar keuze. </w:t>
      </w:r>
    </w:p>
    <w:p w:rsidR="00B57F15" w:rsidRDefault="00B57F15" w:rsidP="00B57F15">
      <w:pPr>
        <w:tabs>
          <w:tab w:val="left" w:pos="567"/>
        </w:tabs>
        <w:rPr>
          <w:rFonts w:ascii="Times New Roman" w:hAnsi="Times New Roman" w:cs="Times New Roman"/>
          <w:sz w:val="24"/>
          <w:szCs w:val="24"/>
        </w:rPr>
      </w:pPr>
      <w:r w:rsidRPr="00C25BAE">
        <w:rPr>
          <w:rFonts w:ascii="Times New Roman" w:hAnsi="Times New Roman" w:cs="Times New Roman"/>
          <w:i/>
          <w:sz w:val="24"/>
          <w:szCs w:val="24"/>
        </w:rPr>
        <w:lastRenderedPageBreak/>
        <w:t>Wanneer anderen meehelpen bij het communie uitreiken, wordt daarna de ciborie aan hen overhandigd. Eerst gaan degenen die de com</w:t>
      </w:r>
      <w:r>
        <w:rPr>
          <w:rFonts w:ascii="Times New Roman" w:hAnsi="Times New Roman" w:cs="Times New Roman"/>
          <w:i/>
          <w:sz w:val="24"/>
          <w:szCs w:val="24"/>
        </w:rPr>
        <w:t xml:space="preserve">munie, te communie, daarna ontvangen alle gelovigen de communie. </w:t>
      </w:r>
    </w:p>
    <w:p w:rsidR="00B57F15" w:rsidRDefault="00B57F15" w:rsidP="00B57F15">
      <w:pPr>
        <w:tabs>
          <w:tab w:val="left" w:pos="567"/>
        </w:tabs>
        <w:rPr>
          <w:rFonts w:ascii="Times New Roman" w:hAnsi="Times New Roman" w:cs="Times New Roman"/>
          <w:sz w:val="24"/>
          <w:szCs w:val="24"/>
        </w:rPr>
      </w:pPr>
    </w:p>
    <w:p w:rsidR="00B57F15" w:rsidRDefault="00B57F15" w:rsidP="00B57F15">
      <w:pPr>
        <w:pStyle w:val="Lijstalinea"/>
        <w:numPr>
          <w:ilvl w:val="0"/>
          <w:numId w:val="2"/>
        </w:numPr>
        <w:tabs>
          <w:tab w:val="left" w:pos="567"/>
        </w:tabs>
        <w:rPr>
          <w:rFonts w:ascii="Times New Roman" w:hAnsi="Times New Roman" w:cs="Times New Roman"/>
          <w:sz w:val="24"/>
          <w:szCs w:val="24"/>
        </w:rPr>
      </w:pPr>
      <w:r>
        <w:rPr>
          <w:rFonts w:ascii="Times New Roman" w:hAnsi="Times New Roman" w:cs="Times New Roman"/>
          <w:b/>
          <w:sz w:val="24"/>
          <w:szCs w:val="24"/>
        </w:rPr>
        <w:t>Communie uitreiken</w:t>
      </w:r>
    </w:p>
    <w:p w:rsidR="00B57F15" w:rsidRDefault="00B57F15" w:rsidP="00B57F15">
      <w:pPr>
        <w:tabs>
          <w:tab w:val="left" w:pos="567"/>
        </w:tabs>
        <w:rPr>
          <w:rFonts w:ascii="Times New Roman" w:hAnsi="Times New Roman" w:cs="Times New Roman"/>
          <w:sz w:val="24"/>
          <w:szCs w:val="24"/>
        </w:rPr>
      </w:pPr>
    </w:p>
    <w:p w:rsidR="00B57F15" w:rsidRDefault="00B57F15" w:rsidP="00B57F15">
      <w:pPr>
        <w:tabs>
          <w:tab w:val="left" w:pos="567"/>
        </w:tabs>
        <w:rPr>
          <w:rFonts w:ascii="Times New Roman" w:hAnsi="Times New Roman" w:cs="Times New Roman"/>
          <w:i/>
          <w:sz w:val="24"/>
          <w:szCs w:val="24"/>
        </w:rPr>
      </w:pPr>
      <w:r>
        <w:rPr>
          <w:rFonts w:ascii="Times New Roman" w:hAnsi="Times New Roman" w:cs="Times New Roman"/>
          <w:i/>
          <w:sz w:val="24"/>
          <w:szCs w:val="24"/>
        </w:rPr>
        <w:t xml:space="preserve">Tijdens het communie uitreiken kan zoals gebruikelijk een communiezang (een psalm of lied) of de Latijnse </w:t>
      </w:r>
      <w:proofErr w:type="spellStart"/>
      <w:r>
        <w:rPr>
          <w:rFonts w:ascii="Times New Roman" w:hAnsi="Times New Roman" w:cs="Times New Roman"/>
          <w:i/>
          <w:sz w:val="24"/>
          <w:szCs w:val="24"/>
        </w:rPr>
        <w:t>communio</w:t>
      </w:r>
      <w:proofErr w:type="spellEnd"/>
      <w:r>
        <w:rPr>
          <w:rFonts w:ascii="Times New Roman" w:hAnsi="Times New Roman" w:cs="Times New Roman"/>
          <w:i/>
          <w:sz w:val="24"/>
          <w:szCs w:val="24"/>
        </w:rPr>
        <w:t xml:space="preserve"> gezongen worden. Als communiezang kan eventueel een evangelielied genomen worden, als dit niet gezongen is na de verkondiging. Ook kan er orgelspel zijn. In dat geval wordt de communiezang gezongen tijdens de dankzegging. </w:t>
      </w:r>
    </w:p>
    <w:p w:rsidR="00B57F15" w:rsidRDefault="00B57F15" w:rsidP="00B57F15">
      <w:pPr>
        <w:tabs>
          <w:tab w:val="left" w:pos="567"/>
        </w:tabs>
        <w:rPr>
          <w:rFonts w:ascii="Times New Roman" w:hAnsi="Times New Roman" w:cs="Times New Roman"/>
          <w:i/>
          <w:sz w:val="24"/>
          <w:szCs w:val="24"/>
        </w:rPr>
      </w:pPr>
    </w:p>
    <w:p w:rsidR="00B57F15" w:rsidRDefault="00B57F15" w:rsidP="00B57F15">
      <w:pPr>
        <w:pStyle w:val="Lijstalinea"/>
        <w:numPr>
          <w:ilvl w:val="0"/>
          <w:numId w:val="2"/>
        </w:numPr>
        <w:tabs>
          <w:tab w:val="left" w:pos="567"/>
        </w:tabs>
        <w:rPr>
          <w:rFonts w:ascii="Times New Roman" w:hAnsi="Times New Roman" w:cs="Times New Roman"/>
          <w:sz w:val="24"/>
          <w:szCs w:val="24"/>
        </w:rPr>
      </w:pPr>
      <w:r>
        <w:rPr>
          <w:rFonts w:ascii="Times New Roman" w:hAnsi="Times New Roman" w:cs="Times New Roman"/>
          <w:b/>
          <w:sz w:val="24"/>
          <w:szCs w:val="24"/>
        </w:rPr>
        <w:t>Dankzegging</w:t>
      </w:r>
    </w:p>
    <w:p w:rsidR="00B57F15" w:rsidRDefault="00B57F15" w:rsidP="00B57F15">
      <w:pPr>
        <w:tabs>
          <w:tab w:val="left" w:pos="567"/>
        </w:tabs>
        <w:rPr>
          <w:rFonts w:ascii="Times New Roman" w:hAnsi="Times New Roman" w:cs="Times New Roman"/>
          <w:sz w:val="24"/>
          <w:szCs w:val="24"/>
        </w:rPr>
      </w:pPr>
    </w:p>
    <w:p w:rsidR="00B57F15" w:rsidRDefault="00B57F15" w:rsidP="00B57F15">
      <w:pPr>
        <w:tabs>
          <w:tab w:val="left" w:pos="567"/>
        </w:tabs>
        <w:rPr>
          <w:rFonts w:ascii="Times New Roman" w:hAnsi="Times New Roman" w:cs="Times New Roman"/>
          <w:i/>
          <w:sz w:val="24"/>
          <w:szCs w:val="24"/>
        </w:rPr>
      </w:pPr>
      <w:r>
        <w:rPr>
          <w:rFonts w:ascii="Times New Roman" w:hAnsi="Times New Roman" w:cs="Times New Roman"/>
          <w:i/>
          <w:sz w:val="24"/>
          <w:szCs w:val="24"/>
        </w:rPr>
        <w:t xml:space="preserve">Na het communie uitreiken wordt er ruim gelegenheid geboden voor een persoonlijk gebed van dankzegging gedurende een langere tijd van stilte. </w:t>
      </w:r>
    </w:p>
    <w:p w:rsidR="00B57F15" w:rsidRDefault="00B57F15" w:rsidP="00B57F15">
      <w:pPr>
        <w:tabs>
          <w:tab w:val="left" w:pos="567"/>
        </w:tabs>
        <w:rPr>
          <w:rFonts w:ascii="Times New Roman" w:hAnsi="Times New Roman" w:cs="Times New Roman"/>
          <w:i/>
          <w:sz w:val="24"/>
          <w:szCs w:val="24"/>
        </w:rPr>
      </w:pPr>
      <w:r>
        <w:rPr>
          <w:rFonts w:ascii="Times New Roman" w:hAnsi="Times New Roman" w:cs="Times New Roman"/>
          <w:i/>
          <w:sz w:val="24"/>
          <w:szCs w:val="24"/>
        </w:rPr>
        <w:t xml:space="preserve">Na het communie uitreiken worden de overgebleven eucharistische gaven op waardige wijze naar het tabernakel gebracht, eventueel voorafgegaan door een misdienaar met kaarslicht. Daarna gaan degene die de viering leidt, en de assistenten naar hun zitplaats om evenals de andere gelovigen persoonlijk te bidden. </w:t>
      </w:r>
    </w:p>
    <w:p w:rsidR="00B57F15" w:rsidRDefault="00B57F15" w:rsidP="00B57F15">
      <w:pPr>
        <w:tabs>
          <w:tab w:val="left" w:pos="567"/>
        </w:tabs>
        <w:rPr>
          <w:rFonts w:ascii="Times New Roman" w:hAnsi="Times New Roman" w:cs="Times New Roman"/>
          <w:i/>
          <w:sz w:val="24"/>
          <w:szCs w:val="24"/>
        </w:rPr>
      </w:pPr>
      <w:r>
        <w:rPr>
          <w:rFonts w:ascii="Times New Roman" w:hAnsi="Times New Roman" w:cs="Times New Roman"/>
          <w:i/>
          <w:sz w:val="24"/>
          <w:szCs w:val="24"/>
        </w:rPr>
        <w:t xml:space="preserve">De dank van de gelovigen voor het ontvangen van de gave van de Heer, zijn lichaam gegeven tot ons heil, komt eveneens toto uitdrukking in de bijdrage aan de collecte die ter afsluiting van de persoonlijke dankzegging gehouden wordt. Degene die de viering leidt of een assistent zal de gelovigen hiertoe in eigen bewoordingen uitnodigen. De collecteschalen zullen aan het eind van de collecte geplaatst worden aan de voet van het altaar. Onderwijl kan er instrumentale muziek plaatsvinden. </w:t>
      </w:r>
    </w:p>
    <w:p w:rsidR="00B57F15" w:rsidRDefault="00B57F15" w:rsidP="00B57F15">
      <w:pPr>
        <w:tabs>
          <w:tab w:val="left" w:pos="567"/>
        </w:tabs>
        <w:rPr>
          <w:rFonts w:ascii="Times New Roman" w:hAnsi="Times New Roman" w:cs="Times New Roman"/>
          <w:i/>
          <w:sz w:val="24"/>
          <w:szCs w:val="24"/>
        </w:rPr>
      </w:pPr>
    </w:p>
    <w:p w:rsidR="00B57F15" w:rsidRDefault="00B57F15" w:rsidP="00B57F15">
      <w:pPr>
        <w:pStyle w:val="Lijstalinea"/>
        <w:numPr>
          <w:ilvl w:val="0"/>
          <w:numId w:val="2"/>
        </w:numPr>
        <w:tabs>
          <w:tab w:val="left" w:pos="567"/>
        </w:tabs>
        <w:rPr>
          <w:rFonts w:ascii="Times New Roman" w:hAnsi="Times New Roman" w:cs="Times New Roman"/>
          <w:sz w:val="24"/>
          <w:szCs w:val="24"/>
        </w:rPr>
      </w:pPr>
      <w:r>
        <w:rPr>
          <w:rFonts w:ascii="Times New Roman" w:hAnsi="Times New Roman" w:cs="Times New Roman"/>
          <w:b/>
          <w:sz w:val="24"/>
          <w:szCs w:val="24"/>
        </w:rPr>
        <w:t>Dankgebed</w:t>
      </w:r>
    </w:p>
    <w:p w:rsidR="00B57F15" w:rsidRDefault="00B57F15" w:rsidP="00B57F15">
      <w:pPr>
        <w:tabs>
          <w:tab w:val="left" w:pos="567"/>
        </w:tabs>
        <w:rPr>
          <w:rFonts w:ascii="Times New Roman" w:hAnsi="Times New Roman" w:cs="Times New Roman"/>
          <w:sz w:val="24"/>
          <w:szCs w:val="24"/>
        </w:rPr>
      </w:pPr>
    </w:p>
    <w:p w:rsidR="00B57F15" w:rsidRDefault="00B57F15" w:rsidP="00B57F15">
      <w:pPr>
        <w:tabs>
          <w:tab w:val="left" w:pos="567"/>
        </w:tabs>
        <w:rPr>
          <w:rFonts w:ascii="Times New Roman" w:hAnsi="Times New Roman" w:cs="Times New Roman"/>
          <w:i/>
          <w:sz w:val="24"/>
          <w:szCs w:val="24"/>
        </w:rPr>
      </w:pPr>
      <w:r>
        <w:rPr>
          <w:rFonts w:ascii="Times New Roman" w:hAnsi="Times New Roman" w:cs="Times New Roman"/>
          <w:i/>
          <w:sz w:val="24"/>
          <w:szCs w:val="24"/>
        </w:rPr>
        <w:t xml:space="preserve">De dankzegging wordt besloten met het bidden van het dank- of communiegebed, waarbij allen staan. Hieraan nemen allen deel door het zeggen of zingen van een acclamatie. Het communiegebed wordt gebeden vanaf de zitplaats of de ambo, niet vanaf het altaar. Communiegebeden staan afgedrukt bij de teksten naar keuze.  </w:t>
      </w:r>
    </w:p>
    <w:p w:rsidR="00B57F15" w:rsidRDefault="00B57F15" w:rsidP="00B57F15">
      <w:pPr>
        <w:tabs>
          <w:tab w:val="left" w:pos="567"/>
        </w:tabs>
        <w:rPr>
          <w:rFonts w:ascii="Times New Roman" w:hAnsi="Times New Roman" w:cs="Times New Roman"/>
          <w:i/>
          <w:sz w:val="24"/>
          <w:szCs w:val="24"/>
        </w:rPr>
      </w:pPr>
    </w:p>
    <w:p w:rsidR="00B57F15" w:rsidRDefault="00B57F15" w:rsidP="00B57F15">
      <w:pPr>
        <w:tabs>
          <w:tab w:val="left" w:pos="567"/>
        </w:tabs>
        <w:rPr>
          <w:rFonts w:ascii="Times New Roman" w:hAnsi="Times New Roman" w:cs="Times New Roman"/>
          <w:i/>
          <w:sz w:val="24"/>
          <w:szCs w:val="24"/>
        </w:rPr>
      </w:pPr>
      <w:r>
        <w:rPr>
          <w:rFonts w:ascii="Times New Roman" w:hAnsi="Times New Roman" w:cs="Times New Roman"/>
          <w:i/>
          <w:sz w:val="28"/>
          <w:szCs w:val="28"/>
        </w:rPr>
        <w:t>Besluit van de viering</w:t>
      </w:r>
    </w:p>
    <w:p w:rsidR="00B57F15" w:rsidRDefault="00B57F15" w:rsidP="00B57F15">
      <w:pPr>
        <w:tabs>
          <w:tab w:val="left" w:pos="567"/>
        </w:tabs>
        <w:rPr>
          <w:rFonts w:ascii="Times New Roman" w:hAnsi="Times New Roman" w:cs="Times New Roman"/>
          <w:i/>
          <w:sz w:val="24"/>
          <w:szCs w:val="24"/>
        </w:rPr>
      </w:pPr>
    </w:p>
    <w:p w:rsidR="00B57F15" w:rsidRPr="006A5569" w:rsidRDefault="00B57F15" w:rsidP="00B57F15">
      <w:pPr>
        <w:pStyle w:val="Lijstalinea"/>
        <w:numPr>
          <w:ilvl w:val="0"/>
          <w:numId w:val="2"/>
        </w:numPr>
        <w:tabs>
          <w:tab w:val="left" w:pos="567"/>
        </w:tabs>
        <w:rPr>
          <w:rFonts w:ascii="Times New Roman" w:hAnsi="Times New Roman" w:cs="Times New Roman"/>
          <w:b/>
          <w:sz w:val="24"/>
          <w:szCs w:val="24"/>
        </w:rPr>
      </w:pPr>
      <w:r>
        <w:rPr>
          <w:rFonts w:ascii="Times New Roman" w:hAnsi="Times New Roman" w:cs="Times New Roman"/>
          <w:b/>
          <w:sz w:val="24"/>
          <w:szCs w:val="24"/>
        </w:rPr>
        <w:t>Mededelingen</w:t>
      </w:r>
    </w:p>
    <w:p w:rsidR="00B57F15" w:rsidRDefault="00B57F15" w:rsidP="00B57F15">
      <w:pPr>
        <w:tabs>
          <w:tab w:val="left" w:pos="567"/>
        </w:tabs>
        <w:rPr>
          <w:rFonts w:ascii="Times New Roman" w:hAnsi="Times New Roman" w:cs="Times New Roman"/>
          <w:b/>
          <w:sz w:val="24"/>
          <w:szCs w:val="24"/>
        </w:rPr>
      </w:pPr>
    </w:p>
    <w:p w:rsidR="00B57F15" w:rsidRDefault="00B57F15" w:rsidP="00B57F15">
      <w:pPr>
        <w:tabs>
          <w:tab w:val="left" w:pos="567"/>
        </w:tabs>
        <w:rPr>
          <w:rFonts w:ascii="Times New Roman" w:hAnsi="Times New Roman" w:cs="Times New Roman"/>
          <w:i/>
          <w:sz w:val="24"/>
          <w:szCs w:val="24"/>
        </w:rPr>
      </w:pPr>
      <w:r>
        <w:rPr>
          <w:rFonts w:ascii="Times New Roman" w:hAnsi="Times New Roman" w:cs="Times New Roman"/>
          <w:i/>
          <w:sz w:val="24"/>
          <w:szCs w:val="24"/>
        </w:rPr>
        <w:t xml:space="preserve">De noodzakelijke mededelingen vinden plaats op de gebruikelijke manier. Bij voorkeur wordt dit gedaan door een van de assistenten. </w:t>
      </w:r>
    </w:p>
    <w:p w:rsidR="00B57F15" w:rsidRDefault="00B57F15" w:rsidP="00B57F15">
      <w:pPr>
        <w:tabs>
          <w:tab w:val="left" w:pos="567"/>
        </w:tabs>
        <w:rPr>
          <w:rFonts w:ascii="Times New Roman" w:hAnsi="Times New Roman" w:cs="Times New Roman"/>
          <w:i/>
          <w:sz w:val="24"/>
          <w:szCs w:val="24"/>
        </w:rPr>
      </w:pPr>
    </w:p>
    <w:p w:rsidR="00B57F15" w:rsidRPr="006A5569" w:rsidRDefault="00B57F15" w:rsidP="00B57F15">
      <w:pPr>
        <w:pStyle w:val="Lijstalinea"/>
        <w:numPr>
          <w:ilvl w:val="0"/>
          <w:numId w:val="2"/>
        </w:numPr>
        <w:tabs>
          <w:tab w:val="left" w:pos="567"/>
        </w:tabs>
        <w:rPr>
          <w:rFonts w:ascii="Times New Roman" w:hAnsi="Times New Roman" w:cs="Times New Roman"/>
          <w:b/>
          <w:sz w:val="24"/>
          <w:szCs w:val="24"/>
        </w:rPr>
      </w:pPr>
      <w:r>
        <w:rPr>
          <w:rFonts w:ascii="Times New Roman" w:hAnsi="Times New Roman" w:cs="Times New Roman"/>
          <w:b/>
          <w:sz w:val="24"/>
          <w:szCs w:val="24"/>
        </w:rPr>
        <w:t>Zegenbede en wegzending</w:t>
      </w:r>
    </w:p>
    <w:p w:rsidR="00B57F15" w:rsidRDefault="00B57F15" w:rsidP="00B57F15">
      <w:pPr>
        <w:tabs>
          <w:tab w:val="left" w:pos="567"/>
        </w:tabs>
        <w:rPr>
          <w:rFonts w:ascii="Times New Roman" w:hAnsi="Times New Roman" w:cs="Times New Roman"/>
          <w:b/>
          <w:i/>
          <w:sz w:val="24"/>
          <w:szCs w:val="24"/>
        </w:rPr>
      </w:pPr>
    </w:p>
    <w:p w:rsidR="00B57F15" w:rsidRDefault="00B57F15" w:rsidP="00B57F15">
      <w:pPr>
        <w:tabs>
          <w:tab w:val="left" w:pos="567"/>
        </w:tabs>
        <w:rPr>
          <w:rFonts w:ascii="Times New Roman" w:hAnsi="Times New Roman" w:cs="Times New Roman"/>
          <w:i/>
          <w:sz w:val="24"/>
          <w:szCs w:val="24"/>
        </w:rPr>
      </w:pPr>
      <w:r>
        <w:rPr>
          <w:rFonts w:ascii="Times New Roman" w:hAnsi="Times New Roman" w:cs="Times New Roman"/>
          <w:i/>
          <w:sz w:val="24"/>
          <w:szCs w:val="24"/>
        </w:rPr>
        <w:t xml:space="preserve">Een leek neemt een van de zegenbeden die staan bij de teksten naar keuze. De zegenbede wordt besloten met de wegzending eventueel voorafgegaan door een opwekkend woord. Als er een diaken voorgaat, geeft deze de zegen, voorafgegaan door </w:t>
      </w:r>
      <w:r>
        <w:rPr>
          <w:rFonts w:ascii="Times New Roman" w:hAnsi="Times New Roman" w:cs="Times New Roman"/>
          <w:sz w:val="24"/>
          <w:szCs w:val="24"/>
        </w:rPr>
        <w:t xml:space="preserve">De Heer zij met u </w:t>
      </w:r>
      <w:r>
        <w:rPr>
          <w:rFonts w:ascii="Times New Roman" w:hAnsi="Times New Roman" w:cs="Times New Roman"/>
          <w:i/>
          <w:sz w:val="24"/>
          <w:szCs w:val="24"/>
        </w:rPr>
        <w:t xml:space="preserve">op de gebruikelijke manier. </w:t>
      </w:r>
    </w:p>
    <w:p w:rsidR="00B57F15" w:rsidRDefault="00B57F15" w:rsidP="00B57F15">
      <w:pPr>
        <w:tabs>
          <w:tab w:val="left" w:pos="567"/>
        </w:tabs>
        <w:rPr>
          <w:rFonts w:ascii="Times New Roman" w:hAnsi="Times New Roman" w:cs="Times New Roman"/>
          <w:i/>
          <w:sz w:val="24"/>
          <w:szCs w:val="24"/>
        </w:rPr>
      </w:pPr>
    </w:p>
    <w:p w:rsidR="00B57F15" w:rsidRDefault="00B57F15" w:rsidP="00B57F15">
      <w:pPr>
        <w:pStyle w:val="Lijstalinea"/>
        <w:numPr>
          <w:ilvl w:val="0"/>
          <w:numId w:val="2"/>
        </w:numPr>
        <w:tabs>
          <w:tab w:val="left" w:pos="567"/>
        </w:tabs>
        <w:rPr>
          <w:rFonts w:ascii="Times New Roman" w:hAnsi="Times New Roman" w:cs="Times New Roman"/>
          <w:b/>
          <w:sz w:val="24"/>
          <w:szCs w:val="24"/>
        </w:rPr>
      </w:pPr>
      <w:r>
        <w:rPr>
          <w:rFonts w:ascii="Times New Roman" w:hAnsi="Times New Roman" w:cs="Times New Roman"/>
          <w:b/>
          <w:sz w:val="24"/>
          <w:szCs w:val="24"/>
        </w:rPr>
        <w:t>(Slotlied)</w:t>
      </w:r>
    </w:p>
    <w:p w:rsidR="00B57F15" w:rsidRDefault="00B57F15" w:rsidP="00B57F15">
      <w:pPr>
        <w:tabs>
          <w:tab w:val="left" w:pos="567"/>
        </w:tabs>
        <w:rPr>
          <w:rFonts w:ascii="Times New Roman" w:hAnsi="Times New Roman" w:cs="Times New Roman"/>
          <w:b/>
          <w:sz w:val="24"/>
          <w:szCs w:val="24"/>
        </w:rPr>
      </w:pPr>
    </w:p>
    <w:p w:rsidR="00B57F15" w:rsidRDefault="00B57F15" w:rsidP="00B57F15">
      <w:pPr>
        <w:tabs>
          <w:tab w:val="left" w:pos="567"/>
        </w:tabs>
        <w:rPr>
          <w:rFonts w:ascii="Times New Roman" w:hAnsi="Times New Roman" w:cs="Times New Roman"/>
          <w:i/>
          <w:sz w:val="24"/>
          <w:szCs w:val="24"/>
        </w:rPr>
      </w:pPr>
      <w:r>
        <w:rPr>
          <w:rFonts w:ascii="Times New Roman" w:hAnsi="Times New Roman" w:cs="Times New Roman"/>
          <w:i/>
          <w:sz w:val="24"/>
          <w:szCs w:val="24"/>
        </w:rPr>
        <w:t xml:space="preserve">Zoals ter plaatse gebruikelijk is, wordt het slotlied gezongen. Aan het slot van dit lied gaat degene die de viering leidt, met de assistenten terug naar de sacristie. </w:t>
      </w:r>
    </w:p>
    <w:p w:rsidR="00147336" w:rsidRDefault="00147336"/>
    <w:sectPr w:rsidR="00147336" w:rsidSect="00EA7E20">
      <w:pgSz w:w="8419" w:h="11906" w:orient="landscape"/>
      <w:pgMar w:top="720" w:right="720" w:bottom="720"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31D1294"/>
    <w:multiLevelType w:val="hybridMultilevel"/>
    <w:tmpl w:val="A836A5BC"/>
    <w:lvl w:ilvl="0" w:tplc="D77C655A">
      <w:start w:val="1"/>
      <w:numFmt w:val="bullet"/>
      <w:lvlText w:val="-"/>
      <w:lvlJc w:val="left"/>
      <w:pPr>
        <w:ind w:left="720" w:hanging="360"/>
      </w:pPr>
      <w:rPr>
        <w:rFonts w:ascii="Times New Roman" w:eastAsiaTheme="minorHAnsi" w:hAnsi="Times New Roman"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nsid w:val="7E294771"/>
    <w:multiLevelType w:val="hybridMultilevel"/>
    <w:tmpl w:val="759EC492"/>
    <w:lvl w:ilvl="0" w:tplc="04130015">
      <w:start w:val="1"/>
      <w:numFmt w:val="upp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bookFoldPrint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57F15"/>
    <w:rsid w:val="00147336"/>
    <w:rsid w:val="001918EC"/>
    <w:rsid w:val="00B21B01"/>
    <w:rsid w:val="00B57F15"/>
    <w:rsid w:val="00EA7E20"/>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B57F15"/>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B57F15"/>
    <w:pPr>
      <w:ind w:left="720"/>
      <w:contextualSpacing/>
    </w:pPr>
  </w:style>
  <w:style w:type="paragraph" w:styleId="Ballontekst">
    <w:name w:val="Balloon Text"/>
    <w:basedOn w:val="Standaard"/>
    <w:link w:val="BallontekstChar"/>
    <w:uiPriority w:val="99"/>
    <w:semiHidden/>
    <w:unhideWhenUsed/>
    <w:rsid w:val="00B57F15"/>
    <w:pPr>
      <w:spacing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B57F1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B57F15"/>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B57F15"/>
    <w:pPr>
      <w:ind w:left="720"/>
      <w:contextualSpacing/>
    </w:pPr>
  </w:style>
  <w:style w:type="paragraph" w:styleId="Ballontekst">
    <w:name w:val="Balloon Text"/>
    <w:basedOn w:val="Standaard"/>
    <w:link w:val="BallontekstChar"/>
    <w:uiPriority w:val="99"/>
    <w:semiHidden/>
    <w:unhideWhenUsed/>
    <w:rsid w:val="00B57F15"/>
    <w:pPr>
      <w:spacing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B57F1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microsoft.com/office/2007/relationships/hdphoto" Target="media/hdphoto1.wdp"/><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2623</Words>
  <Characters>14428</Characters>
  <Application>Microsoft Office Word</Application>
  <DocSecurity>0</DocSecurity>
  <Lines>120</Lines>
  <Paragraphs>34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17017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Gebruiker</dc:creator>
  <cp:lastModifiedBy>Gebruiker</cp:lastModifiedBy>
  <cp:revision>3</cp:revision>
  <dcterms:created xsi:type="dcterms:W3CDTF">2011-12-05T11:08:00Z</dcterms:created>
  <dcterms:modified xsi:type="dcterms:W3CDTF">2011-12-08T14:00:00Z</dcterms:modified>
</cp:coreProperties>
</file>